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84701">
      <w:pPr>
        <w:pStyle w:val="25"/>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2598C74F">
      <w:pPr>
        <w:jc w:val="both"/>
        <w:rPr>
          <w:rFonts w:ascii="Microsoft Sans Serif" w:hAnsi="Microsoft Sans Serif" w:cs="Microsoft Sans Serif"/>
          <w:sz w:val="20"/>
          <w:lang w:val="bs-Latn-BA"/>
        </w:rPr>
      </w:pPr>
    </w:p>
    <w:p w14:paraId="7122E249">
      <w:pPr>
        <w:jc w:val="both"/>
        <w:rPr>
          <w:rFonts w:ascii="Microsoft Sans Serif" w:hAnsi="Microsoft Sans Serif" w:cs="Microsoft Sans Serif"/>
          <w:sz w:val="20"/>
          <w:lang w:val="bs-Latn-BA"/>
        </w:rPr>
      </w:pPr>
    </w:p>
    <w:p w14:paraId="624FFA63">
      <w:pPr>
        <w:jc w:val="both"/>
        <w:rPr>
          <w:rFonts w:ascii="Microsoft Sans Serif" w:hAnsi="Microsoft Sans Serif" w:cs="Microsoft Sans Serif"/>
          <w:sz w:val="20"/>
          <w:lang w:val="bs-Latn-BA"/>
        </w:rPr>
      </w:pPr>
    </w:p>
    <w:p w14:paraId="3145892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3AB40D5">
      <w:pPr>
        <w:jc w:val="both"/>
        <w:rPr>
          <w:rFonts w:ascii="Microsoft Sans Serif" w:hAnsi="Microsoft Sans Serif" w:cs="Microsoft Sans Serif"/>
          <w:sz w:val="20"/>
          <w:lang w:val="bs-Latn-BA"/>
        </w:rPr>
      </w:pPr>
    </w:p>
    <w:p w14:paraId="6BE316E6">
      <w:pPr>
        <w:tabs>
          <w:tab w:val="left" w:pos="5339"/>
        </w:tabs>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p>
    <w:p w14:paraId="01F26880">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4B9F9C30">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w:t>
      </w:r>
    </w:p>
    <w:p w14:paraId="4537C54A">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07988F4A">
      <w:pPr>
        <w:tabs>
          <w:tab w:val="left" w:pos="5339"/>
        </w:tabs>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bisoprolol</w:t>
      </w:r>
    </w:p>
    <w:p w14:paraId="02BDB07A">
      <w:pPr>
        <w:jc w:val="both"/>
        <w:rPr>
          <w:rFonts w:ascii="Microsoft Sans Serif" w:hAnsi="Microsoft Sans Serif" w:cs="Microsoft Sans Serif"/>
          <w:sz w:val="20"/>
          <w:lang w:val="bs-Latn-BA"/>
        </w:rPr>
      </w:pPr>
    </w:p>
    <w:p w14:paraId="4227DA57">
      <w:pPr>
        <w:jc w:val="both"/>
        <w:rPr>
          <w:rFonts w:ascii="Microsoft Sans Serif" w:hAnsi="Microsoft Sans Serif" w:cs="Microsoft Sans Serif"/>
          <w:sz w:val="20"/>
          <w:lang w:val="bs-Latn-BA"/>
        </w:rPr>
      </w:pPr>
    </w:p>
    <w:p w14:paraId="0DF000E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4B600286">
      <w:pPr>
        <w:jc w:val="both"/>
        <w:rPr>
          <w:rFonts w:ascii="Microsoft Sans Serif" w:hAnsi="Microsoft Sans Serif" w:cs="Microsoft Sans Serif"/>
          <w:sz w:val="20"/>
          <w:lang w:val="bs-Latn-BA"/>
        </w:rPr>
      </w:pPr>
    </w:p>
    <w:p w14:paraId="3D4DAFA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Bipresso</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5 mg film tablete</w:t>
      </w:r>
    </w:p>
    <w:p w14:paraId="6857DBB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film tableta sadrži 5 mg bisoprolol fumarata.</w:t>
      </w:r>
    </w:p>
    <w:p w14:paraId="0D9459EA">
      <w:pPr>
        <w:jc w:val="both"/>
        <w:rPr>
          <w:rFonts w:ascii="Microsoft Sans Serif" w:hAnsi="Microsoft Sans Serif" w:cs="Microsoft Sans Serif"/>
          <w:sz w:val="20"/>
          <w:u w:val="single"/>
          <w:lang w:val="bs-Latn-BA"/>
        </w:rPr>
      </w:pPr>
    </w:p>
    <w:p w14:paraId="0F4A317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Bipresso</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10 mg film tablete</w:t>
      </w:r>
    </w:p>
    <w:p w14:paraId="2C58525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film tableta sadrži 10 mg bisoprolol fumarata.</w:t>
      </w:r>
    </w:p>
    <w:p w14:paraId="535B783F">
      <w:pPr>
        <w:jc w:val="both"/>
        <w:rPr>
          <w:rFonts w:ascii="Microsoft Sans Serif" w:hAnsi="Microsoft Sans Serif" w:cs="Microsoft Sans Serif"/>
          <w:sz w:val="20"/>
          <w:u w:val="single"/>
          <w:lang w:val="bs-Latn-BA"/>
        </w:rPr>
      </w:pPr>
    </w:p>
    <w:p w14:paraId="7720DBE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42A13703">
      <w:pPr>
        <w:jc w:val="both"/>
        <w:rPr>
          <w:rFonts w:ascii="Microsoft Sans Serif" w:hAnsi="Microsoft Sans Serif" w:cs="Microsoft Sans Serif"/>
          <w:sz w:val="20"/>
          <w:u w:val="single"/>
          <w:lang w:val="bs-Latn-BA"/>
        </w:rPr>
      </w:pPr>
    </w:p>
    <w:p w14:paraId="3DC83EF0">
      <w:pPr>
        <w:jc w:val="both"/>
        <w:rPr>
          <w:rFonts w:ascii="Microsoft Sans Serif" w:hAnsi="Microsoft Sans Serif" w:cs="Microsoft Sans Serif"/>
          <w:sz w:val="20"/>
          <w:lang w:val="bs-Latn-BA"/>
        </w:rPr>
      </w:pPr>
    </w:p>
    <w:p w14:paraId="462356A7">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54C019DC">
      <w:pPr>
        <w:jc w:val="both"/>
        <w:rPr>
          <w:rFonts w:ascii="Microsoft Sans Serif" w:hAnsi="Microsoft Sans Serif" w:cs="Microsoft Sans Serif"/>
          <w:sz w:val="20"/>
          <w:lang w:val="bs-Latn-BA"/>
        </w:rPr>
      </w:pPr>
    </w:p>
    <w:p w14:paraId="68ACFA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Film tableta.  </w:t>
      </w:r>
    </w:p>
    <w:p w14:paraId="4F22D5B9">
      <w:pPr>
        <w:tabs>
          <w:tab w:val="left" w:pos="5339"/>
        </w:tabs>
        <w:jc w:val="both"/>
        <w:rPr>
          <w:rFonts w:ascii="Microsoft Sans Serif" w:hAnsi="Microsoft Sans Serif" w:cs="Microsoft Sans Serif"/>
          <w:sz w:val="20"/>
          <w:u w:val="single"/>
          <w:lang w:val="de-DE"/>
        </w:rPr>
      </w:pPr>
      <w:r>
        <w:rPr>
          <w:rFonts w:ascii="Microsoft Sans Serif" w:hAnsi="Microsoft Sans Serif" w:cs="Microsoft Sans Serif"/>
          <w:sz w:val="20"/>
          <w:u w:val="single"/>
          <w:lang w:val="de-DE"/>
        </w:rPr>
        <w:t>Bipresso, 5 mg film tablete.</w:t>
      </w:r>
    </w:p>
    <w:p w14:paraId="066DF792">
      <w:pPr>
        <w:tabs>
          <w:tab w:val="left" w:pos="567"/>
        </w:tabs>
        <w:jc w:val="both"/>
        <w:rPr>
          <w:rFonts w:ascii="Microsoft Sans Serif" w:hAnsi="Microsoft Sans Serif" w:cs="Microsoft Sans Serif"/>
          <w:sz w:val="20"/>
          <w:lang w:val="sr-Cyrl-RS"/>
        </w:rPr>
      </w:pPr>
      <w:r>
        <w:rPr>
          <w:rFonts w:ascii="Microsoft Sans Serif" w:hAnsi="Microsoft Sans Serif" w:cs="Microsoft Sans Serif"/>
          <w:sz w:val="20"/>
          <w:lang w:val="de-DE"/>
        </w:rPr>
        <w:t>Žute, okrugle, bikonveksne film tablete sa prelomnom crtom na jednoj strani.</w:t>
      </w:r>
      <w:r>
        <w:rPr>
          <w:rFonts w:ascii="Microsoft Sans Serif" w:hAnsi="Microsoft Sans Serif" w:cs="Microsoft Sans Serif"/>
          <w:sz w:val="20"/>
          <w:lang w:val="sr-Cyrl-RS"/>
        </w:rPr>
        <w:t xml:space="preserve"> Tableta se mo</w:t>
      </w:r>
      <w:r>
        <w:rPr>
          <w:rFonts w:ascii="Microsoft Sans Serif" w:hAnsi="Microsoft Sans Serif" w:cs="Microsoft Sans Serif"/>
          <w:sz w:val="20"/>
        </w:rPr>
        <w:t>ž</w:t>
      </w:r>
      <w:r>
        <w:rPr>
          <w:rFonts w:ascii="Microsoft Sans Serif" w:hAnsi="Microsoft Sans Serif" w:cs="Microsoft Sans Serif"/>
          <w:sz w:val="20"/>
          <w:lang w:val="sr-Cyrl-RS"/>
        </w:rPr>
        <w:t>e pod</w:t>
      </w:r>
      <w:r>
        <w:rPr>
          <w:rFonts w:ascii="Microsoft Sans Serif" w:hAnsi="Microsoft Sans Serif" w:cs="Microsoft Sans Serif"/>
          <w:sz w:val="20"/>
        </w:rPr>
        <w:t>ij</w:t>
      </w:r>
      <w:r>
        <w:rPr>
          <w:rFonts w:ascii="Microsoft Sans Serif" w:hAnsi="Microsoft Sans Serif" w:cs="Microsoft Sans Serif"/>
          <w:sz w:val="20"/>
          <w:lang w:val="sr-Cyrl-RS"/>
        </w:rPr>
        <w:t>eliti na jednake doze.</w:t>
      </w:r>
    </w:p>
    <w:p w14:paraId="43BF5BF4">
      <w:pPr>
        <w:tabs>
          <w:tab w:val="left" w:pos="5339"/>
        </w:tabs>
        <w:jc w:val="both"/>
        <w:rPr>
          <w:rFonts w:ascii="Microsoft Sans Serif" w:hAnsi="Microsoft Sans Serif" w:cs="Microsoft Sans Serif"/>
          <w:sz w:val="20"/>
          <w:lang w:val="de-DE"/>
        </w:rPr>
      </w:pPr>
    </w:p>
    <w:p w14:paraId="1F377729">
      <w:pPr>
        <w:tabs>
          <w:tab w:val="left" w:pos="5339"/>
        </w:tabs>
        <w:jc w:val="both"/>
        <w:rPr>
          <w:rFonts w:ascii="Microsoft Sans Serif" w:hAnsi="Microsoft Sans Serif" w:cs="Microsoft Sans Serif"/>
          <w:sz w:val="20"/>
          <w:u w:val="single"/>
        </w:rPr>
      </w:pPr>
      <w:r>
        <w:rPr>
          <w:rFonts w:ascii="Microsoft Sans Serif" w:hAnsi="Microsoft Sans Serif" w:cs="Microsoft Sans Serif"/>
          <w:sz w:val="20"/>
          <w:u w:val="single"/>
        </w:rPr>
        <w:t>Bipresso, 10 mg film tablete.</w:t>
      </w:r>
    </w:p>
    <w:p w14:paraId="2DE3195E">
      <w:pPr>
        <w:tabs>
          <w:tab w:val="left" w:pos="567"/>
        </w:tabs>
        <w:jc w:val="both"/>
        <w:rPr>
          <w:rFonts w:ascii="Microsoft Sans Serif" w:hAnsi="Microsoft Sans Serif" w:cs="Microsoft Sans Serif"/>
          <w:sz w:val="20"/>
          <w:lang w:val="sr-Cyrl-RS"/>
        </w:rPr>
      </w:pPr>
      <w:r>
        <w:rPr>
          <w:rFonts w:ascii="Microsoft Sans Serif" w:hAnsi="Microsoft Sans Serif" w:cs="Microsoft Sans Serif"/>
          <w:sz w:val="20"/>
        </w:rPr>
        <w:t xml:space="preserve">Oker-žute, okrugle, </w:t>
      </w:r>
      <w:r>
        <w:rPr>
          <w:rFonts w:ascii="Microsoft Sans Serif" w:hAnsi="Microsoft Sans Serif" w:cs="Microsoft Sans Serif"/>
          <w:sz w:val="20"/>
          <w:lang w:val="de-DE"/>
        </w:rPr>
        <w:t xml:space="preserve">bikonveksne </w:t>
      </w:r>
      <w:r>
        <w:rPr>
          <w:rFonts w:ascii="Microsoft Sans Serif" w:hAnsi="Microsoft Sans Serif" w:cs="Microsoft Sans Serif"/>
          <w:sz w:val="20"/>
        </w:rPr>
        <w:t>film tablete sa prelomnom crtom na jednoj strani.</w:t>
      </w:r>
      <w:r>
        <w:rPr>
          <w:rFonts w:ascii="Microsoft Sans Serif" w:hAnsi="Microsoft Sans Serif" w:cs="Microsoft Sans Serif"/>
          <w:sz w:val="20"/>
          <w:lang w:val="sr-Cyrl-RS"/>
        </w:rPr>
        <w:t xml:space="preserve"> Tableta se mo</w:t>
      </w:r>
      <w:r>
        <w:rPr>
          <w:rFonts w:ascii="Microsoft Sans Serif" w:hAnsi="Microsoft Sans Serif" w:cs="Microsoft Sans Serif"/>
          <w:sz w:val="20"/>
        </w:rPr>
        <w:t>ž</w:t>
      </w:r>
      <w:r>
        <w:rPr>
          <w:rFonts w:ascii="Microsoft Sans Serif" w:hAnsi="Microsoft Sans Serif" w:cs="Microsoft Sans Serif"/>
          <w:sz w:val="20"/>
          <w:lang w:val="sr-Cyrl-RS"/>
        </w:rPr>
        <w:t>e pod</w:t>
      </w:r>
      <w:r>
        <w:rPr>
          <w:rFonts w:ascii="Microsoft Sans Serif" w:hAnsi="Microsoft Sans Serif" w:cs="Microsoft Sans Serif"/>
          <w:sz w:val="20"/>
        </w:rPr>
        <w:t>ij</w:t>
      </w:r>
      <w:r>
        <w:rPr>
          <w:rFonts w:ascii="Microsoft Sans Serif" w:hAnsi="Microsoft Sans Serif" w:cs="Microsoft Sans Serif"/>
          <w:sz w:val="20"/>
          <w:lang w:val="sr-Cyrl-RS"/>
        </w:rPr>
        <w:t>eliti na jednake doze.</w:t>
      </w:r>
    </w:p>
    <w:p w14:paraId="7C50EAD6">
      <w:pPr>
        <w:jc w:val="both"/>
        <w:rPr>
          <w:rFonts w:ascii="Microsoft Sans Serif" w:hAnsi="Microsoft Sans Serif" w:cs="Microsoft Sans Serif"/>
          <w:sz w:val="20"/>
        </w:rPr>
      </w:pPr>
    </w:p>
    <w:p w14:paraId="474DFCB7">
      <w:pPr>
        <w:jc w:val="both"/>
        <w:rPr>
          <w:rFonts w:ascii="Microsoft Sans Serif" w:hAnsi="Microsoft Sans Serif" w:cs="Microsoft Sans Serif"/>
          <w:sz w:val="20"/>
          <w:lang w:val="bs-Latn-BA"/>
        </w:rPr>
      </w:pPr>
    </w:p>
    <w:p w14:paraId="15E4E4C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92885A7">
      <w:pPr>
        <w:jc w:val="both"/>
        <w:rPr>
          <w:rFonts w:ascii="Microsoft Sans Serif" w:hAnsi="Microsoft Sans Serif" w:cs="Microsoft Sans Serif"/>
          <w:b/>
          <w:sz w:val="20"/>
          <w:lang w:val="bs-Latn-BA"/>
        </w:rPr>
      </w:pPr>
    </w:p>
    <w:p w14:paraId="729BFA5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Terapijske indikacije </w:t>
      </w:r>
    </w:p>
    <w:p w14:paraId="64E07915">
      <w:pPr>
        <w:jc w:val="both"/>
        <w:rPr>
          <w:rFonts w:ascii="Microsoft Sans Serif" w:hAnsi="Microsoft Sans Serif" w:cs="Microsoft Sans Serif"/>
          <w:b/>
          <w:sz w:val="20"/>
          <w:lang w:val="bs-Latn-BA"/>
        </w:rPr>
      </w:pPr>
    </w:p>
    <w:p w14:paraId="1291F692">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hipertenzija, </w:t>
      </w:r>
    </w:p>
    <w:p w14:paraId="04ACEDA6">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angina pektoris i </w:t>
      </w:r>
    </w:p>
    <w:p w14:paraId="7925AC07">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liječenje stabilne hronične srčane slabosti sa smanjenom funkcijom lijeve komore, uz liječenje ACE-inhibitorima i diureticima i opcionalno sa srčanim glikozidima (za dodatne informacije pogledati dio 5.1).</w:t>
      </w:r>
    </w:p>
    <w:p w14:paraId="3545879F">
      <w:pPr>
        <w:jc w:val="both"/>
        <w:rPr>
          <w:rFonts w:ascii="Microsoft Sans Serif" w:hAnsi="Microsoft Sans Serif" w:cs="Microsoft Sans Serif"/>
          <w:b/>
          <w:sz w:val="20"/>
          <w:lang w:val="it-IT"/>
        </w:rPr>
      </w:pPr>
    </w:p>
    <w:p w14:paraId="2B526C4A">
      <w:pPr>
        <w:widowControl/>
        <w:numPr>
          <w:ilvl w:val="1"/>
          <w:numId w:val="3"/>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14112D19">
      <w:pPr>
        <w:jc w:val="both"/>
        <w:rPr>
          <w:rStyle w:val="31"/>
          <w:rFonts w:ascii="Microsoft Sans Serif" w:hAnsi="Microsoft Sans Serif" w:cs="Microsoft Sans Serif"/>
          <w:sz w:val="20"/>
          <w:lang w:val="bs-Latn-BA"/>
        </w:rPr>
      </w:pPr>
    </w:p>
    <w:p w14:paraId="3E6C3461">
      <w:pPr>
        <w:jc w:val="both"/>
        <w:rPr>
          <w:rStyle w:val="31"/>
          <w:rFonts w:ascii="Microsoft Sans Serif" w:hAnsi="Microsoft Sans Serif" w:cs="Microsoft Sans Serif"/>
          <w:sz w:val="20"/>
          <w:u w:val="single"/>
          <w:lang w:val="bs-Latn-BA"/>
        </w:rPr>
      </w:pPr>
      <w:r>
        <w:rPr>
          <w:rStyle w:val="31"/>
          <w:rFonts w:ascii="Microsoft Sans Serif" w:hAnsi="Microsoft Sans Serif" w:cs="Microsoft Sans Serif"/>
          <w:sz w:val="20"/>
          <w:u w:val="single"/>
          <w:lang w:val="bs-Latn-BA"/>
        </w:rPr>
        <w:t>Doziranje</w:t>
      </w:r>
    </w:p>
    <w:p w14:paraId="58223551">
      <w:pPr>
        <w:jc w:val="both"/>
        <w:rPr>
          <w:rStyle w:val="31"/>
          <w:rFonts w:ascii="Microsoft Sans Serif" w:hAnsi="Microsoft Sans Serif" w:cs="Microsoft Sans Serif"/>
          <w:sz w:val="20"/>
          <w:lang w:val="bs-Latn-BA"/>
        </w:rPr>
      </w:pPr>
    </w:p>
    <w:p w14:paraId="33645A97">
      <w:pPr>
        <w:pStyle w:val="11"/>
        <w:rPr>
          <w:rFonts w:ascii="Microsoft Sans Serif" w:hAnsi="Microsoft Sans Serif" w:cs="Microsoft Sans Serif"/>
          <w:b/>
          <w:position w:val="0"/>
          <w:sz w:val="20"/>
          <w:lang w:val="bs-Latn-BA"/>
        </w:rPr>
      </w:pPr>
      <w:r>
        <w:rPr>
          <w:rFonts w:ascii="Microsoft Sans Serif" w:hAnsi="Microsoft Sans Serif" w:cs="Microsoft Sans Serif"/>
          <w:b/>
          <w:position w:val="0"/>
          <w:sz w:val="20"/>
          <w:lang w:val="bs-Latn-BA"/>
        </w:rPr>
        <w:t>Hipertenzija/angina pektoris</w:t>
      </w:r>
    </w:p>
    <w:p w14:paraId="2BF4177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Odrasli: Uobičajena doza je 10 mg jednom dnevno, a maksimalna preporučena doza je 20 mg dnevno. Kod nekih pacijenata doza od 5 mg dnevno može biti adekvatna.</w:t>
      </w:r>
    </w:p>
    <w:p w14:paraId="4E35FEEF">
      <w:pPr>
        <w:jc w:val="both"/>
        <w:rPr>
          <w:rStyle w:val="31"/>
          <w:rFonts w:ascii="Microsoft Sans Serif" w:hAnsi="Microsoft Sans Serif" w:cs="Microsoft Sans Serif"/>
          <w:sz w:val="20"/>
          <w:lang w:val="bs-Latn-BA"/>
        </w:rPr>
      </w:pPr>
    </w:p>
    <w:p w14:paraId="0881FF94">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Pacijenti sa oštećenom funkcijom jetre ili bubrega</w:t>
      </w:r>
    </w:p>
    <w:p w14:paraId="7E3681B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za teškim oštećenjem funkcije bubrega (klirens kreatinina &lt;20 ml/min.) i kod pacijenata sa teškim poremećajem funkcije jetre, dozu bisoprolola treba ograničiti na 10 mg jednom dnevno. Iskustvo sa upotrebom bisoprolola kod pacijenata na dijalizi je ograničeno. Nema indicija da je potrebna izmjena doznog režima.</w:t>
      </w:r>
    </w:p>
    <w:p w14:paraId="0C1A5499">
      <w:pPr>
        <w:jc w:val="both"/>
        <w:rPr>
          <w:rFonts w:ascii="Microsoft Sans Serif" w:hAnsi="Microsoft Sans Serif" w:cs="Microsoft Sans Serif"/>
          <w:sz w:val="20"/>
        </w:rPr>
      </w:pPr>
    </w:p>
    <w:p w14:paraId="692C174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Stariji pacijenti </w:t>
      </w:r>
    </w:p>
    <w:p w14:paraId="5B8599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potrebno posebno prilagođavanje doze, ali 5 mg dnevno može biti adekvatno. Kod nekih pacijenata, kao i kod drugih odraslih osoba, doza može biti smanjena u slučajevima teške disfunkcije bubrega ili jetre.</w:t>
      </w:r>
    </w:p>
    <w:p w14:paraId="4DD27B31">
      <w:pPr>
        <w:jc w:val="both"/>
        <w:rPr>
          <w:rFonts w:ascii="Microsoft Sans Serif" w:hAnsi="Microsoft Sans Serif" w:cs="Microsoft Sans Serif"/>
          <w:sz w:val="20"/>
          <w:lang w:val="bs-Latn-BA"/>
        </w:rPr>
      </w:pPr>
    </w:p>
    <w:p w14:paraId="41810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Pedijatrijska populacija  </w:t>
      </w:r>
    </w:p>
    <w:p w14:paraId="0E0CCD0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Nema iskustva sa bisoprololom kod pedijatrijske populacije , pa se zbog toga njegova primjena ne preporučuje. </w:t>
      </w:r>
    </w:p>
    <w:p w14:paraId="1C23311C">
      <w:pPr>
        <w:jc w:val="both"/>
        <w:rPr>
          <w:rFonts w:ascii="Microsoft Sans Serif" w:hAnsi="Microsoft Sans Serif" w:cs="Microsoft Sans Serif"/>
          <w:sz w:val="20"/>
          <w:lang w:val="bs-Latn-BA"/>
        </w:rPr>
      </w:pPr>
    </w:p>
    <w:p w14:paraId="0D1FBA4B">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Prekid liječenja</w:t>
      </w:r>
    </w:p>
    <w:p w14:paraId="153A8E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Kod pacijenata sa ishemičnom bolesti srca liječenje se ne smije naglo prekinuti. Dozu treba biti polako smanjiti tokom 1-2 sedmice. .</w:t>
      </w:r>
    </w:p>
    <w:p w14:paraId="02849010">
      <w:pPr>
        <w:jc w:val="both"/>
        <w:rPr>
          <w:rFonts w:ascii="Microsoft Sans Serif" w:hAnsi="Microsoft Sans Serif" w:cs="Microsoft Sans Serif"/>
          <w:sz w:val="20"/>
          <w:lang w:val="es-MX"/>
        </w:rPr>
      </w:pPr>
    </w:p>
    <w:p w14:paraId="32975D87">
      <w:pPr>
        <w:jc w:val="both"/>
        <w:textAlignment w:val="top"/>
        <w:rPr>
          <w:rFonts w:ascii="Microsoft Sans Serif" w:hAnsi="Microsoft Sans Serif" w:cs="Microsoft Sans Serif"/>
          <w:b/>
          <w:i/>
          <w:sz w:val="20"/>
          <w:lang w:val="bs-Latn-BA" w:eastAsia="en-GB"/>
        </w:rPr>
      </w:pPr>
      <w:r>
        <w:rPr>
          <w:rFonts w:ascii="Microsoft Sans Serif" w:hAnsi="Microsoft Sans Serif" w:cs="Microsoft Sans Serif"/>
          <w:b/>
          <w:i/>
          <w:sz w:val="20"/>
          <w:lang w:val="bs-Latn-BA" w:eastAsia="en-GB"/>
        </w:rPr>
        <w:t>Stabilna hronična srčana slabost</w:t>
      </w:r>
    </w:p>
    <w:p w14:paraId="73EBC1D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Standardni tretman hronične srčane slabosti sastoji se od ACE-inhibitora (ili blokatora angiotenzinskih receptora u slučaju nepodnošenja ACE-inhibitora), beta-blokatora, diuretika i kada je to prikladno – srčanih glikozida. Pacijenti bi trebalo da budu stabilni (bez akutne srčane slabosti) kada se počinje sa primjenom bisoprolola.</w:t>
      </w:r>
    </w:p>
    <w:p w14:paraId="3679002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Preporučuje se da bi liječenje trebalo da obavlja iskusni ljekar u tretmanu hronične srčane slabosti.</w:t>
      </w:r>
      <w:r>
        <w:rPr>
          <w:rFonts w:ascii="Microsoft Sans Serif" w:hAnsi="Microsoft Sans Serif" w:cs="Microsoft Sans Serif"/>
          <w:sz w:val="20"/>
          <w:lang w:val="bs-Latn-BA" w:eastAsia="en-GB"/>
        </w:rPr>
        <w:br w:type="textWrapping"/>
      </w:r>
      <w:r>
        <w:rPr>
          <w:rFonts w:ascii="Microsoft Sans Serif" w:hAnsi="Microsoft Sans Serif" w:cs="Microsoft Sans Serif"/>
          <w:sz w:val="20"/>
          <w:lang w:val="bs-Latn-BA" w:eastAsia="en-GB"/>
        </w:rPr>
        <w:t>Prolazno pogoršanje srčane slabosti, hipotenzija ili bradikardija može se dogoditi tokom perioda titracije i nakon toga.</w:t>
      </w:r>
    </w:p>
    <w:p w14:paraId="5B076295">
      <w:pPr>
        <w:jc w:val="both"/>
        <w:rPr>
          <w:rFonts w:ascii="Microsoft Sans Serif" w:hAnsi="Microsoft Sans Serif" w:cs="Microsoft Sans Serif"/>
          <w:sz w:val="20"/>
        </w:rPr>
      </w:pPr>
    </w:p>
    <w:p w14:paraId="455DD17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Faza titracije</w:t>
      </w:r>
    </w:p>
    <w:p w14:paraId="3B3A565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Liječenje stabilne hronične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sz w:val="20"/>
          <w:lang w:val="bs-Latn-BA"/>
        </w:rPr>
        <w:t>treba početi sa titracijskom fazom. Liječenje bisoprololom treba početi postupno sa titracijom na sljedeći način:</w:t>
      </w:r>
    </w:p>
    <w:p w14:paraId="480F2EB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- 1,25 mg jednom dnevno tokom sedam dana, ako se lijek dobro podnosi dozu povećati na</w:t>
      </w:r>
    </w:p>
    <w:p w14:paraId="097FAD3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- 2,5 mg jednom dnevno tokom sedam dana, ako se lijek dobro podnosi dozu povećati na</w:t>
      </w:r>
    </w:p>
    <w:p w14:paraId="0224300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- 3,75 mg jednom dnevno tokom sedam dana, ako se lijek dobro podnosi dozu povećati na</w:t>
      </w:r>
    </w:p>
    <w:p w14:paraId="415366B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- 5 mg jednom dnevno tokom četiti sljedeće sedmice, ako se lijek dobro podnosi dozu povećati na</w:t>
      </w:r>
    </w:p>
    <w:p w14:paraId="3798631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- 7,5 mg jednom dnevno tokom četiri sljedeće sedmice, ako se lijek dobro podnosi dozu povećati na</w:t>
      </w:r>
    </w:p>
    <w:p w14:paraId="6C1DFCF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- 10 mg jednom dnevno kao dozu održavanja. </w:t>
      </w:r>
    </w:p>
    <w:p w14:paraId="557F400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Maksimalna preporučena doza je 10 mg jednom dnevno.</w:t>
      </w:r>
    </w:p>
    <w:p w14:paraId="0DC7A5A9">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Za početak titracione faze (1,25 mg do 3,75 mg dnevno) postoje tablete od 2,5 mg koje se mogu podijeliti na dvije jednake polovine. </w:t>
      </w:r>
    </w:p>
    <w:p w14:paraId="3F2AED7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Pažljivo praćenje vitalnih znakova (srčana frekvencija, krvni pritisak) i simptomi pogoršanja srčane slabosti preporučuje se tokom faze titracije. Simptomi se mogu dogoditi već u toku prvog dana nakon početka terapije.</w:t>
      </w:r>
    </w:p>
    <w:p w14:paraId="6CE469A8">
      <w:pPr>
        <w:jc w:val="both"/>
        <w:rPr>
          <w:rFonts w:ascii="Microsoft Sans Serif" w:hAnsi="Microsoft Sans Serif" w:cs="Microsoft Sans Serif"/>
          <w:i/>
          <w:sz w:val="20"/>
          <w:lang w:val="bs-Latn-BA"/>
        </w:rPr>
      </w:pPr>
    </w:p>
    <w:p w14:paraId="11B64F2A">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Modifikacija liječenja</w:t>
      </w:r>
    </w:p>
    <w:p w14:paraId="1A07BEE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Ako se maksimalna preporučena doza ne podnosi dobro, treba uzeti u obzir postepeno smanjenje doze.</w:t>
      </w:r>
    </w:p>
    <w:p w14:paraId="3634343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slučaju prolaznog pogoršanja srčane slabosti, hipotenzije ili bradikardije, prilagođavanje doza istovremeno primijenjenim lijekovima treba uzeti u obzir. Privremeno smanjenje doze bisoprolola ili prekida liječenja takođe treba uzeti u obzir.</w:t>
      </w:r>
    </w:p>
    <w:p w14:paraId="0BC3B23E">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Ponovno uvođenje i/ili povećanje doze bisoprolola uvijek treba uzeti u obzir kada pacijent postane ponovo stabilan.</w:t>
      </w:r>
    </w:p>
    <w:p w14:paraId="6974EBF1">
      <w:pPr>
        <w:jc w:val="both"/>
        <w:rPr>
          <w:rStyle w:val="49"/>
          <w:rFonts w:ascii="Microsoft Sans Serif" w:hAnsi="Microsoft Sans Serif" w:cs="Microsoft Sans Serif"/>
          <w:sz w:val="20"/>
          <w:lang w:val="en"/>
        </w:rPr>
      </w:pPr>
      <w:r>
        <w:rPr>
          <w:rStyle w:val="49"/>
          <w:rFonts w:ascii="Microsoft Sans Serif" w:hAnsi="Microsoft Sans Serif" w:cs="Microsoft Sans Serif"/>
          <w:sz w:val="20"/>
          <w:lang w:val="en"/>
        </w:rPr>
        <w:t>Ako se uzme u obzir prekid liječenja, preporučuje se postepeno smanjenje doze, jer naglo povlačenje može dovesti do akutnog pogoršanja stanja pacijenta.</w:t>
      </w:r>
    </w:p>
    <w:p w14:paraId="20B2A117">
      <w:pPr>
        <w:jc w:val="both"/>
        <w:rPr>
          <w:rFonts w:ascii="Microsoft Sans Serif" w:hAnsi="Microsoft Sans Serif" w:cs="Microsoft Sans Serif"/>
          <w:i/>
          <w:sz w:val="20"/>
          <w:lang w:val="bs-Latn-BA"/>
        </w:rPr>
      </w:pPr>
    </w:p>
    <w:p w14:paraId="6D178FA8">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Trajanje liječenja</w:t>
      </w:r>
    </w:p>
    <w:p w14:paraId="3BEF1EA9">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je dugotrajno liječenje.</w:t>
      </w:r>
    </w:p>
    <w:p w14:paraId="1C643806">
      <w:pPr>
        <w:jc w:val="both"/>
        <w:textAlignment w:val="top"/>
        <w:rPr>
          <w:rFonts w:ascii="Microsoft Sans Serif" w:hAnsi="Microsoft Sans Serif" w:cs="Microsoft Sans Serif"/>
          <w:sz w:val="20"/>
          <w:lang w:val="bs-Latn-BA" w:eastAsia="en-GB"/>
        </w:rPr>
      </w:pPr>
    </w:p>
    <w:p w14:paraId="4BC5FC4B">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Smanjenje bubrežne ili jetrene funkcije</w:t>
      </w:r>
    </w:p>
    <w:p w14:paraId="056CB95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informacija u vezi sa farmakokinetikom bisoprolola kod pacijenata sa hronične srčane slabosti i sa smanjenom funkcijom jetre ili bubrega. Stoga je kod ovih pacijenata potrebno da se  povećanje doze sprovede sa dodatnim oprezom.</w:t>
      </w:r>
    </w:p>
    <w:p w14:paraId="370F0E41">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Stariji pacijenti</w:t>
      </w:r>
    </w:p>
    <w:p w14:paraId="57A2B0A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Nije potrebno prilagođavanje doze.</w:t>
      </w:r>
    </w:p>
    <w:p w14:paraId="1760A741">
      <w:pPr>
        <w:jc w:val="both"/>
        <w:textAlignment w:val="top"/>
        <w:rPr>
          <w:rFonts w:ascii="Microsoft Sans Serif" w:hAnsi="Microsoft Sans Serif" w:cs="Microsoft Sans Serif"/>
          <w:b/>
          <w:sz w:val="20"/>
          <w:lang w:val="bs-Latn-BA"/>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rPr>
        <w:t>Pedijatrijska populacija</w:t>
      </w:r>
    </w:p>
    <w:p w14:paraId="71FD2A3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Bezbjednost i efikasnost bisoprolola kod pedijatrijske populacije još nije utvrđena, pa se zbog toga njegova primjena ne preporučuje. </w:t>
      </w:r>
    </w:p>
    <w:p w14:paraId="184AB796">
      <w:pPr>
        <w:jc w:val="both"/>
        <w:rPr>
          <w:rFonts w:ascii="Microsoft Sans Serif" w:hAnsi="Microsoft Sans Serif" w:cs="Microsoft Sans Serif"/>
          <w:sz w:val="20"/>
          <w:lang w:val="en-GB"/>
        </w:rPr>
      </w:pPr>
    </w:p>
    <w:p w14:paraId="0571C359">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Način primjene</w:t>
      </w:r>
    </w:p>
    <w:p w14:paraId="785FD63D">
      <w:pPr>
        <w:jc w:val="both"/>
        <w:rPr>
          <w:rFonts w:ascii="Microsoft Sans Serif" w:hAnsi="Microsoft Sans Serif" w:cs="Microsoft Sans Serif"/>
          <w:sz w:val="20"/>
          <w:lang w:val="bs-Latn-BA" w:eastAsia="en-GB"/>
        </w:rPr>
      </w:pPr>
    </w:p>
    <w:p w14:paraId="735F63BB">
      <w:pPr>
        <w:jc w:val="both"/>
        <w:rPr>
          <w:rStyle w:val="31"/>
          <w:rFonts w:ascii="Microsoft Sans Serif" w:hAnsi="Microsoft Sans Serif" w:cs="Microsoft Sans Serif"/>
          <w:sz w:val="20"/>
          <w:lang w:val="bs-Latn-BA"/>
        </w:rPr>
      </w:pPr>
      <w:r>
        <w:rPr>
          <w:rStyle w:val="31"/>
          <w:rFonts w:ascii="Microsoft Sans Serif" w:hAnsi="Microsoft Sans Serif" w:cs="Microsoft Sans Serif"/>
          <w:sz w:val="20"/>
          <w:lang w:val="bs-Latn-BA"/>
        </w:rPr>
        <w:t xml:space="preserve">Oralna primjena. </w:t>
      </w:r>
    </w:p>
    <w:p w14:paraId="0FAAE91C">
      <w:pPr>
        <w:jc w:val="both"/>
        <w:rPr>
          <w:rFonts w:ascii="Microsoft Sans Serif" w:hAnsi="Microsoft Sans Serif" w:cs="Microsoft Sans Serif"/>
          <w:b/>
          <w:sz w:val="20"/>
          <w:lang w:val="bs-Latn-BA"/>
        </w:rPr>
      </w:pPr>
      <w:r>
        <w:rPr>
          <w:rFonts w:ascii="Microsoft Sans Serif" w:hAnsi="Microsoft Sans Serif" w:cs="Microsoft Sans Serif"/>
          <w:sz w:val="20"/>
          <w:lang w:val="bs-Latn-BA" w:eastAsia="en-GB"/>
        </w:rPr>
        <w:t>Bipresso tablete treba uzeti u jutarnjim satima, a mogu se uzeti sa hranom. Tabletu treba progutati cijelu, sa nekom tekućinom, a ne treba je žvakati.</w:t>
      </w:r>
    </w:p>
    <w:p w14:paraId="2ABD8FE5">
      <w:pPr>
        <w:jc w:val="both"/>
        <w:rPr>
          <w:rFonts w:ascii="Microsoft Sans Serif" w:hAnsi="Microsoft Sans Serif" w:cs="Microsoft Sans Serif"/>
          <w:sz w:val="20"/>
          <w:lang w:val="en-GB"/>
        </w:rPr>
      </w:pPr>
    </w:p>
    <w:p w14:paraId="45460AEC">
      <w:pPr>
        <w:widowControl/>
        <w:numPr>
          <w:ilvl w:val="1"/>
          <w:numId w:val="3"/>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2B1DEB8F">
      <w:pPr>
        <w:tabs>
          <w:tab w:val="left" w:pos="426"/>
        </w:tabs>
        <w:jc w:val="both"/>
        <w:rPr>
          <w:rFonts w:ascii="Microsoft Sans Serif" w:hAnsi="Microsoft Sans Serif" w:cs="Microsoft Sans Serif"/>
          <w:sz w:val="20"/>
          <w:lang w:val="bs-Latn-BA"/>
        </w:rPr>
      </w:pPr>
    </w:p>
    <w:p w14:paraId="35E28F09">
      <w:pPr>
        <w:tabs>
          <w:tab w:val="left" w:pos="426"/>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Bisoprolol je kontraindikovan kod pacijenata sa:</w:t>
      </w:r>
    </w:p>
    <w:p w14:paraId="4F962E0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preosjetljivost na bisoprolol ili na bilo koji </w:t>
      </w:r>
      <w:r>
        <w:rPr>
          <w:rFonts w:ascii="Microsoft Sans Serif" w:hAnsi="Microsoft Sans Serif" w:cs="Microsoft Sans Serif"/>
          <w:sz w:val="20"/>
          <w:lang w:val="bs-Latn-BA"/>
        </w:rPr>
        <w:t>drugi sastojak lijeka navedenih u dio 6.1,</w:t>
      </w:r>
    </w:p>
    <w:p w14:paraId="4F718422">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akutne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bCs/>
          <w:sz w:val="20"/>
          <w:lang w:val="bs-Latn-BA"/>
        </w:rPr>
        <w:t>ili epizode dekompenzovane srčane insuficijencije koja zahtijeva intravenoznu primjenu inotropne terapije,</w:t>
      </w:r>
    </w:p>
    <w:p w14:paraId="50E6FD45">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kardiogeni šok,</w:t>
      </w:r>
    </w:p>
    <w:p w14:paraId="488F0FA4">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AV-blok II i III stepena</w:t>
      </w:r>
      <w:r>
        <w:rPr>
          <w:rFonts w:ascii="Microsoft Sans Serif" w:hAnsi="Microsoft Sans Serif" w:cs="Microsoft Sans Serif"/>
          <w:sz w:val="20"/>
        </w:rPr>
        <w:t xml:space="preserve"> </w:t>
      </w:r>
      <w:r>
        <w:rPr>
          <w:rFonts w:ascii="Microsoft Sans Serif" w:hAnsi="Microsoft Sans Serif" w:cs="Microsoft Sans Serif"/>
          <w:bCs/>
          <w:sz w:val="20"/>
          <w:lang w:val="bs-Latn-BA"/>
        </w:rPr>
        <w:t xml:space="preserve">(bez pejsmekera), </w:t>
      </w:r>
    </w:p>
    <w:p w14:paraId="3357DCAC">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bolesnog sinusnog čvora,</w:t>
      </w:r>
    </w:p>
    <w:p w14:paraId="4CB98102">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SA-blok,</w:t>
      </w:r>
    </w:p>
    <w:p w14:paraId="0397115B">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bradikardija (</w:t>
      </w:r>
      <w:r>
        <w:rPr>
          <w:rFonts w:ascii="Microsoft Sans Serif" w:hAnsi="Microsoft Sans Serif" w:cs="Microsoft Sans Serif"/>
          <w:sz w:val="20"/>
          <w:lang w:val="bs-Latn-BA"/>
        </w:rPr>
        <w:t>manje od 60 udara u minuti prije početka liječenja)</w:t>
      </w:r>
      <w:r>
        <w:rPr>
          <w:rFonts w:ascii="Microsoft Sans Serif" w:hAnsi="Microsoft Sans Serif" w:cs="Microsoft Sans Serif"/>
          <w:bCs/>
          <w:sz w:val="20"/>
          <w:lang w:val="bs-Latn-BA"/>
        </w:rPr>
        <w:t xml:space="preserve">, </w:t>
      </w:r>
    </w:p>
    <w:p w14:paraId="55818B8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hipotenzija (sistolni krvni pritisak &gt;100 mmHg), </w:t>
      </w:r>
    </w:p>
    <w:p w14:paraId="65D3829A">
      <w:pPr>
        <w:widowControl/>
        <w:numPr>
          <w:ilvl w:val="0"/>
          <w:numId w:val="4"/>
        </w:numPr>
        <w:jc w:val="both"/>
        <w:outlineLvl w:val="0"/>
        <w:rPr>
          <w:rFonts w:ascii="Microsoft Sans Serif" w:hAnsi="Microsoft Sans Serif" w:cs="Microsoft Sans Serif"/>
          <w:b/>
          <w:sz w:val="20"/>
          <w:lang w:val="bs-Latn-BA"/>
        </w:rPr>
      </w:pPr>
      <w:r>
        <w:rPr>
          <w:rFonts w:ascii="Microsoft Sans Serif" w:hAnsi="Microsoft Sans Serif" w:cs="Microsoft Sans Serif"/>
          <w:bCs/>
          <w:sz w:val="20"/>
          <w:lang w:val="bs-Latn-BA"/>
        </w:rPr>
        <w:t xml:space="preserve">teška bronhijalna astma, </w:t>
      </w:r>
    </w:p>
    <w:p w14:paraId="7E463AB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teški oblik periferne okluzivne bolesti arterija ili teški oblik </w:t>
      </w:r>
      <w:r>
        <w:rPr>
          <w:rFonts w:ascii="Microsoft Sans Serif" w:hAnsi="Microsoft Sans Serif" w:cs="Microsoft Sans Serif"/>
          <w:sz w:val="20"/>
          <w:lang w:val="bs-Latn-BA" w:eastAsia="en-GB"/>
        </w:rPr>
        <w:t>Rejnaudovog sindroma,</w:t>
      </w:r>
    </w:p>
    <w:p w14:paraId="67485AF8">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neliječeni feohromocitom (pogledati dio 4.4) i</w:t>
      </w:r>
    </w:p>
    <w:p w14:paraId="5DD6D51A">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metabolička acidoza.</w:t>
      </w:r>
    </w:p>
    <w:p w14:paraId="15BA2DB3">
      <w:pPr>
        <w:jc w:val="both"/>
        <w:rPr>
          <w:rFonts w:ascii="Microsoft Sans Serif" w:hAnsi="Microsoft Sans Serif" w:cs="Microsoft Sans Serif"/>
          <w:sz w:val="20"/>
          <w:lang w:val="bs-Latn-BA"/>
        </w:rPr>
      </w:pPr>
    </w:p>
    <w:p w14:paraId="2277EB0B">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6D80D59E">
      <w:pPr>
        <w:pStyle w:val="22"/>
        <w:spacing w:before="0" w:beforeAutospacing="0" w:after="0" w:afterAutospacing="0"/>
        <w:jc w:val="both"/>
        <w:rPr>
          <w:rFonts w:ascii="Microsoft Sans Serif" w:hAnsi="Microsoft Sans Serif" w:cs="Microsoft Sans Serif"/>
          <w:i/>
          <w:iCs/>
          <w:sz w:val="20"/>
          <w:szCs w:val="20"/>
          <w:lang w:val="bs-Latn-BA"/>
        </w:rPr>
      </w:pPr>
    </w:p>
    <w:p w14:paraId="028FF95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mora biti pokrenuto s posebnom fazom titracije doze.</w:t>
      </w:r>
    </w:p>
    <w:p w14:paraId="685CA06B">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Pogotovo kod pacijenata sa ishemijskim bolestima srca prestanak terapije sa bisoprololom ne mora biti učinjen naglo, osim kada je jasno indikovano, jer to može dovesti do prolaznog pogoršanja srčanog stanja.</w:t>
      </w:r>
    </w:p>
    <w:p w14:paraId="44831CB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Početak i prestanak liječenja bisoprololom zahtijeva redovno praćenje pacijenta.</w:t>
      </w:r>
    </w:p>
    <w:p w14:paraId="74F15BEA">
      <w:pPr>
        <w:jc w:val="both"/>
        <w:rPr>
          <w:rFonts w:ascii="Microsoft Sans Serif" w:hAnsi="Microsoft Sans Serif" w:cs="Microsoft Sans Serif"/>
          <w:sz w:val="20"/>
          <w:lang w:val="bs-Latn-BA"/>
        </w:rPr>
      </w:pPr>
    </w:p>
    <w:p w14:paraId="6A600C2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terapijskog iskustva u liječenju srčane slabosti bisoprololom kod pacijenata sa sljedećim bolestima i stanjima:</w:t>
      </w:r>
    </w:p>
    <w:p w14:paraId="01BE2C07">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inzulin zavisan dijabetes (tip I),</w:t>
      </w:r>
    </w:p>
    <w:p w14:paraId="77ABBA71">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teško oštećenje funkcije bubrega,</w:t>
      </w:r>
    </w:p>
    <w:p w14:paraId="121C8036">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teško oštećenje funkcije jetre, </w:t>
      </w:r>
    </w:p>
    <w:p w14:paraId="6A6F4519">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restriktivna kardiomiopatija,</w:t>
      </w:r>
    </w:p>
    <w:p w14:paraId="49BAB3BD">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kongenitalne bolesti srca,</w:t>
      </w:r>
    </w:p>
    <w:p w14:paraId="1A8E2378">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hemodinamski značajna bolest srčanih zalistaka i</w:t>
      </w:r>
    </w:p>
    <w:p w14:paraId="59F362D9">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infarkt miokarda u posljednja tri mjeseca.</w:t>
      </w:r>
    </w:p>
    <w:p w14:paraId="6923F7C5">
      <w:pPr>
        <w:jc w:val="both"/>
        <w:rPr>
          <w:rFonts w:ascii="Microsoft Sans Serif" w:hAnsi="Microsoft Sans Serif" w:cs="Microsoft Sans Serif"/>
          <w:sz w:val="20"/>
        </w:rPr>
      </w:pPr>
    </w:p>
    <w:p w14:paraId="23E531B6">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Bisoprolol se mora pažljivo primijeniti kod:</w:t>
      </w:r>
    </w:p>
    <w:p w14:paraId="250B6B7C">
      <w:pPr>
        <w:numPr>
          <w:ilvl w:val="0"/>
          <w:numId w:val="6"/>
        </w:numPr>
        <w:autoSpaceDE w:val="0"/>
        <w:autoSpaceDN w:val="0"/>
        <w:adjustRightInd w:val="0"/>
        <w:jc w:val="both"/>
        <w:rPr>
          <w:rFonts w:ascii="Microsoft Sans Serif" w:hAnsi="Microsoft Sans Serif" w:eastAsia="TimesNewRoman" w:cs="Microsoft Sans Serif"/>
          <w:sz w:val="20"/>
          <w:lang w:val="bs-Latn-BA"/>
        </w:rPr>
      </w:pPr>
      <w:r>
        <w:rPr>
          <w:rStyle w:val="49"/>
          <w:rFonts w:ascii="Microsoft Sans Serif" w:hAnsi="Microsoft Sans Serif" w:cs="Microsoft Sans Serif"/>
          <w:sz w:val="20"/>
          <w:lang w:val="en"/>
        </w:rPr>
        <w:t>srčane insuficijencije (liječenje stabilne hronične srčane slabosti sa bisoprololom treba započeti sa posebnom fazom titracije (za više detalja, pogledati dio 4.2)).</w:t>
      </w:r>
    </w:p>
    <w:p w14:paraId="5C57B486">
      <w:pPr>
        <w:numPr>
          <w:ilvl w:val="0"/>
          <w:numId w:val="6"/>
        </w:numPr>
        <w:autoSpaceDE w:val="0"/>
        <w:autoSpaceDN w:val="0"/>
        <w:adjustRightInd w:val="0"/>
        <w:jc w:val="both"/>
        <w:rPr>
          <w:rFonts w:ascii="Microsoft Sans Serif" w:hAnsi="Microsoft Sans Serif" w:eastAsia="TimesNewRoman" w:cs="Microsoft Sans Serif"/>
          <w:sz w:val="20"/>
          <w:lang w:val="bs-Latn-BA"/>
        </w:rPr>
      </w:pPr>
      <w:r>
        <w:rPr>
          <w:rFonts w:ascii="Microsoft Sans Serif" w:hAnsi="Microsoft Sans Serif" w:eastAsia="TimesNewRoman" w:cs="Microsoft Sans Serif"/>
          <w:sz w:val="20"/>
          <w:lang w:val="bs-Latn-BA"/>
        </w:rPr>
        <w:t>bronhospazma (bronhijalna astma, opstruktivna bolest disajnih puteva),</w:t>
      </w:r>
    </w:p>
    <w:p w14:paraId="2BB56EB1">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dijabetičara koji imaju značajne fluktuacije u nivou šećera u krvi jer može prikriti simptome hipoglikemije,</w:t>
      </w:r>
    </w:p>
    <w:p w14:paraId="6A64595C">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su na strogoj dijeti,</w:t>
      </w:r>
    </w:p>
    <w:p w14:paraId="26C50F31">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lica koja su na terapiji desenzibilizacije. </w:t>
      </w:r>
      <w:r>
        <w:rPr>
          <w:rFonts w:ascii="Microsoft Sans Serif" w:hAnsi="Microsoft Sans Serif" w:cs="Microsoft Sans Serif"/>
          <w:sz w:val="20"/>
          <w:lang w:val="bs-Latn-BA"/>
        </w:rPr>
        <w:t>Kao i drugi beta-blokatori, bisoprolol može povećati osjetljivost prema alergenima i pojačati težinu anafilaktičke reakcije. Liječenje adrenalinom ne daje uvijek očekivane terapijske efekte,</w:t>
      </w:r>
    </w:p>
    <w:p w14:paraId="70E48C6F">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imaju AV-blok prvog stepena,</w:t>
      </w:r>
    </w:p>
    <w:p w14:paraId="0AEC8307">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Prinzmetalove angine,</w:t>
      </w:r>
    </w:p>
    <w:p w14:paraId="2E6B4B08">
      <w:pPr>
        <w:widowControl/>
        <w:numPr>
          <w:ilvl w:val="0"/>
          <w:numId w:val="6"/>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periferne arterijske okluzivne bolesti </w:t>
      </w:r>
      <w:r>
        <w:rPr>
          <w:rFonts w:ascii="Microsoft Sans Serif" w:hAnsi="Microsoft Sans Serif" w:cs="Microsoft Sans Serif"/>
          <w:sz w:val="20"/>
          <w:lang w:val="bs-Latn-BA" w:eastAsia="en-GB"/>
        </w:rPr>
        <w:t>(pogoršanje simptoma može se pojaviti naročito na početku terapije) i</w:t>
      </w:r>
    </w:p>
    <w:p w14:paraId="652A412E">
      <w:pPr>
        <w:widowControl/>
        <w:numPr>
          <w:ilvl w:val="0"/>
          <w:numId w:val="6"/>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opšte anestezije.</w:t>
      </w:r>
    </w:p>
    <w:p w14:paraId="2113624C">
      <w:pPr>
        <w:autoSpaceDE w:val="0"/>
        <w:autoSpaceDN w:val="0"/>
        <w:adjustRightInd w:val="0"/>
        <w:jc w:val="both"/>
        <w:rPr>
          <w:rFonts w:ascii="Microsoft Sans Serif" w:hAnsi="Microsoft Sans Serif" w:cs="Microsoft Sans Serif"/>
          <w:sz w:val="20"/>
        </w:rPr>
      </w:pPr>
    </w:p>
    <w:p w14:paraId="7FAEB640">
      <w:pPr>
        <w:autoSpaceDE w:val="0"/>
        <w:autoSpaceDN w:val="0"/>
        <w:adjustRightInd w:val="0"/>
        <w:jc w:val="both"/>
        <w:rPr>
          <w:rFonts w:ascii="Microsoft Sans Serif" w:hAnsi="Microsoft Sans Serif" w:cs="Microsoft Sans Serif"/>
          <w:sz w:val="20"/>
          <w:lang w:val="hr-HR" w:eastAsia="en-GB"/>
        </w:rPr>
      </w:pPr>
      <w:r>
        <w:rPr>
          <w:rStyle w:val="31"/>
          <w:rFonts w:ascii="Microsoft Sans Serif" w:hAnsi="Microsoft Sans Serif" w:cs="Microsoft Sans Serif"/>
          <w:sz w:val="20"/>
          <w:lang w:val="bs-Latn-BA"/>
        </w:rPr>
        <w:t>Kod pacijenata podvrgnutih</w:t>
      </w:r>
      <w:r>
        <w:rPr>
          <w:rFonts w:ascii="Microsoft Sans Serif" w:hAnsi="Microsoft Sans Serif" w:cs="Microsoft Sans Serif"/>
          <w:sz w:val="20"/>
          <w:lang w:val="bs-Latn-BA"/>
        </w:rPr>
        <w:t xml:space="preserve"> opštoj</w:t>
      </w:r>
      <w:r>
        <w:rPr>
          <w:rStyle w:val="31"/>
          <w:rFonts w:ascii="Microsoft Sans Serif" w:hAnsi="Microsoft Sans Serif" w:cs="Microsoft Sans Serif"/>
          <w:sz w:val="20"/>
          <w:lang w:val="bs-Latn-BA"/>
        </w:rPr>
        <w:t xml:space="preserve"> anesteziji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blokada </w:t>
      </w:r>
      <w:r>
        <w:rPr>
          <w:rStyle w:val="31"/>
          <w:rFonts w:ascii="Microsoft Sans Serif" w:hAnsi="Microsoft Sans Serif" w:cs="Microsoft Sans Serif"/>
          <w:sz w:val="20"/>
          <w:lang w:val="bs-Latn-BA"/>
        </w:rPr>
        <w:t>smanjuje pojavu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aritmija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infarkta miokarda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anestezije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intubacije</w:t>
      </w:r>
      <w:r>
        <w:rPr>
          <w:rFonts w:ascii="Microsoft Sans Serif" w:hAnsi="Microsoft Sans Serif" w:cs="Microsoft Sans Serif"/>
          <w:sz w:val="20"/>
          <w:lang w:val="bs-Latn-BA"/>
        </w:rPr>
        <w:t xml:space="preserve">, te u </w:t>
      </w:r>
      <w:r>
        <w:rPr>
          <w:rStyle w:val="33"/>
          <w:rFonts w:ascii="Microsoft Sans Serif" w:hAnsi="Microsoft Sans Serif" w:cs="Microsoft Sans Serif"/>
          <w:sz w:val="20"/>
          <w:lang w:val="bs-Latn-BA"/>
        </w:rPr>
        <w:t>post</w:t>
      </w:r>
      <w:r>
        <w:rPr>
          <w:rFonts w:ascii="Microsoft Sans Serif" w:hAnsi="Microsoft Sans Serif" w:cs="Microsoft Sans Serif"/>
          <w:sz w:val="20"/>
          <w:lang w:val="bs-Latn-BA"/>
        </w:rPr>
        <w:t xml:space="preserve">operativnim periodom. </w:t>
      </w:r>
      <w:r>
        <w:rPr>
          <w:rStyle w:val="31"/>
          <w:rFonts w:ascii="Microsoft Sans Serif" w:hAnsi="Microsoft Sans Serif" w:cs="Microsoft Sans Serif"/>
          <w:sz w:val="20"/>
          <w:lang w:val="bs-Latn-BA"/>
        </w:rPr>
        <w:t>Trenutno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preporučuje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da se održavanje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blokade </w:t>
      </w:r>
      <w:r>
        <w:rPr>
          <w:rStyle w:val="31"/>
          <w:rFonts w:ascii="Microsoft Sans Serif" w:hAnsi="Microsoft Sans Serif" w:cs="Microsoft Sans Serif"/>
          <w:sz w:val="20"/>
          <w:lang w:val="bs-Latn-BA"/>
        </w:rPr>
        <w:t>nastavlja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w:t>
      </w:r>
      <w:r>
        <w:rPr>
          <w:rFonts w:ascii="Microsoft Sans Serif" w:hAnsi="Microsoft Sans Serif" w:cs="Microsoft Sans Serif"/>
          <w:sz w:val="20"/>
          <w:lang w:val="bs-Latn-BA"/>
        </w:rPr>
        <w:t>operativno. A</w:t>
      </w:r>
      <w:r>
        <w:rPr>
          <w:rFonts w:ascii="Microsoft Sans Serif" w:hAnsi="Microsoft Sans Serif" w:cs="Microsoft Sans Serif"/>
          <w:sz w:val="20"/>
          <w:lang w:val="bs-Latn-BA" w:eastAsia="en-GB"/>
        </w:rPr>
        <w:t>nesteziolog mora znati za beta-blokadu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potencijalnih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interakcija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drugim lijekovima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što može uzrokovati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bradiaritmiju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slabljenje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tahikardije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sposobnost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kompenzacije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gubitka krvi</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Ako je prije operacije potrebno ukinuti terapiju beta-blokatorima, to bi trebalo sprovoditi postepeno i završeno oko 48 sati prije anestezije.</w:t>
      </w:r>
    </w:p>
    <w:p w14:paraId="6C92C1BD">
      <w:pPr>
        <w:jc w:val="both"/>
        <w:textAlignment w:val="top"/>
        <w:rPr>
          <w:rFonts w:ascii="Microsoft Sans Serif" w:hAnsi="Microsoft Sans Serif" w:cs="Microsoft Sans Serif"/>
          <w:sz w:val="20"/>
          <w:lang w:val="bs-Latn-BA" w:eastAsia="en-GB"/>
        </w:rPr>
      </w:pPr>
    </w:p>
    <w:p w14:paraId="551F5FAD">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Iako kardioselektivni (beta 1) beta blokatori imaju manji uticaj na funkciju pluća u odnosu na neselektivne beta blokatore, kao i za sve beta blokatore, važi da njihovu primjenu treba izbjegavati kod pacijenata sa hroničnom opstruktivnom bolestima disajnih puteva, osim ukoliko postoje opravdani klinički razlozi za njihovu upotrebu. Ukoliko takvi razlozi postoje, bisoprolol se treba koristiti sa oprezom. Kod pacijenata sa opstruktivni bolestima disajnih puteva, terapiju bisoprololom treba početi najnižom mogućom dozom i pacijente treba pažljivo pratiti za nove simptome (t.j. dispneja, netolerancija vežbanja, kašalj). Kod bronhijalne astme ili drugih hroničnih plućnih bolesti, koje mogu uzrokovati simptome, preporučuje se istovremena bronhodilatatorna terapija. Povremeno povećanje otpora disajnih puteva se može pojaviti kod pacijenata sa astmom, stoga doza beta-2 stimulansa mora biti povećana.</w:t>
      </w:r>
    </w:p>
    <w:p w14:paraId="2FA65EF8">
      <w:pPr>
        <w:jc w:val="both"/>
        <w:textAlignment w:val="top"/>
        <w:rPr>
          <w:rFonts w:ascii="Microsoft Sans Serif" w:hAnsi="Microsoft Sans Serif" w:cs="Microsoft Sans Serif"/>
          <w:sz w:val="20"/>
          <w:lang w:val="bs-Latn-BA" w:eastAsia="en-GB"/>
        </w:rPr>
      </w:pPr>
    </w:p>
    <w:p w14:paraId="1C9611E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Kombinacija bisoprolola sa antagonistima kalcijuma verapamil ili diltiazem tipa ili sa antihipertenzivima centralnog djelovanja uglavnom se ne preporučuje (pogledati dio 4.5.).</w:t>
      </w:r>
    </w:p>
    <w:p w14:paraId="4438D102">
      <w:pPr>
        <w:jc w:val="both"/>
        <w:textAlignment w:val="top"/>
        <w:rPr>
          <w:rFonts w:ascii="Microsoft Sans Serif" w:hAnsi="Microsoft Sans Serif" w:cs="Microsoft Sans Serif"/>
          <w:sz w:val="20"/>
          <w:lang w:val="bs-Latn-BA"/>
        </w:rPr>
      </w:pPr>
    </w:p>
    <w:p w14:paraId="52B7259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Pacijentima sa psorijazom ili sa anamnezom psorijaze beta-blokatore (npr. bisoprolol) treba dati tek nakon dobro procijenjenog rizika i koristi od primjene.</w:t>
      </w:r>
    </w:p>
    <w:p w14:paraId="572B342E">
      <w:pPr>
        <w:jc w:val="both"/>
        <w:rPr>
          <w:rFonts w:ascii="Microsoft Sans Serif" w:hAnsi="Microsoft Sans Serif" w:cs="Microsoft Sans Serif"/>
          <w:sz w:val="20"/>
          <w:lang w:val="bs-Latn-BA"/>
        </w:rPr>
      </w:pPr>
    </w:p>
    <w:p w14:paraId="2F7DA6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feohromocitomom, bisoprolol se ne smije davati prije nego što se postigne blokada alfa-receptora.</w:t>
      </w:r>
    </w:p>
    <w:p w14:paraId="0264664E">
      <w:pPr>
        <w:jc w:val="both"/>
        <w:textAlignment w:val="top"/>
        <w:rPr>
          <w:rFonts w:ascii="Microsoft Sans Serif" w:hAnsi="Microsoft Sans Serif" w:cs="Microsoft Sans Serif"/>
          <w:sz w:val="20"/>
          <w:lang w:val="bs-Latn-BA" w:eastAsia="en-GB"/>
        </w:rPr>
      </w:pPr>
    </w:p>
    <w:p w14:paraId="60B55F01">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Simptomi tireotoksikoze mogu biti prikriveni tokom terapije sa bisoprololom. </w:t>
      </w:r>
    </w:p>
    <w:p w14:paraId="3B5C3BA1">
      <w:pPr>
        <w:pStyle w:val="43"/>
        <w:jc w:val="both"/>
        <w:rPr>
          <w:rFonts w:ascii="Microsoft Sans Serif" w:hAnsi="Microsoft Sans Serif" w:cs="Microsoft Sans Serif"/>
          <w:sz w:val="20"/>
          <w:szCs w:val="20"/>
          <w:lang w:val="bs-Latn-BA"/>
        </w:rPr>
      </w:pPr>
    </w:p>
    <w:p w14:paraId="1477BDA3">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Prekid terapije bisoprololom ne bi trebao biti naglo izveden osim ako nije jasno indikovano. Za dalje informacije, pogledati dio 4.2.</w:t>
      </w:r>
    </w:p>
    <w:p w14:paraId="50B2CA11">
      <w:pPr>
        <w:jc w:val="both"/>
        <w:rPr>
          <w:rFonts w:ascii="Microsoft Sans Serif" w:hAnsi="Microsoft Sans Serif" w:cs="Microsoft Sans Serif"/>
          <w:b/>
          <w:sz w:val="20"/>
          <w:lang w:val="bs-Latn-BA"/>
        </w:rPr>
      </w:pPr>
    </w:p>
    <w:p w14:paraId="75FEBC5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Interakcija sa drugim lijekovima i drugi oblici interakcije </w:t>
      </w:r>
    </w:p>
    <w:p w14:paraId="488BA74D">
      <w:pPr>
        <w:jc w:val="both"/>
        <w:rPr>
          <w:rFonts w:ascii="Microsoft Sans Serif" w:hAnsi="Microsoft Sans Serif" w:cs="Microsoft Sans Serif"/>
          <w:sz w:val="20"/>
          <w:lang w:val="it-IT"/>
        </w:rPr>
      </w:pPr>
    </w:p>
    <w:p w14:paraId="309E0539">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Kombinacije koje se ne preporučuju </w:t>
      </w:r>
    </w:p>
    <w:p w14:paraId="393B23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Antagonisti kalcijuma verapamil tipa i u manjoj mjeri diltiazem tipa:</w:t>
      </w:r>
    </w:p>
    <w:p w14:paraId="2CD8CC2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Negativan uticaj na kontraktilnost i atrio-ventrikularnog sprovođenja. Intravenska primjena verapamila kod pacijenata liječenih beta-blokatorom može dovesti do duboke hipotenzije i atrioventrikularnog bloka.</w:t>
      </w:r>
    </w:p>
    <w:p w14:paraId="141DEBB6">
      <w:pPr>
        <w:pStyle w:val="22"/>
        <w:spacing w:before="0" w:beforeAutospacing="0" w:after="0" w:afterAutospacing="0"/>
        <w:jc w:val="both"/>
        <w:rPr>
          <w:rFonts w:ascii="Microsoft Sans Serif" w:hAnsi="Microsoft Sans Serif" w:cs="Microsoft Sans Serif"/>
          <w:sz w:val="20"/>
          <w:szCs w:val="20"/>
          <w:lang w:val="bs-Latn-BA"/>
        </w:rPr>
      </w:pPr>
    </w:p>
    <w:p w14:paraId="5AE86747">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 (npr. kinidin, dizopiramid, lidokain, fenitoin, flekainid, propafenon): Uticaj na vrijeme atrio-ventrikularnog sprovođenja može biti potenciran i negativni inotropni efekat povećan (kada se primjenjuje kod pacijenata sa hroničnom srčanom slabosti).</w:t>
      </w:r>
    </w:p>
    <w:p w14:paraId="20CEF78C">
      <w:pPr>
        <w:pStyle w:val="22"/>
        <w:spacing w:before="0" w:beforeAutospacing="0" w:after="0" w:afterAutospacing="0"/>
        <w:jc w:val="both"/>
        <w:rPr>
          <w:rFonts w:ascii="Microsoft Sans Serif" w:hAnsi="Microsoft Sans Serif" w:cs="Microsoft Sans Serif"/>
          <w:sz w:val="20"/>
          <w:szCs w:val="20"/>
        </w:rPr>
      </w:pPr>
    </w:p>
    <w:p w14:paraId="3EFB66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Centralno djelujući antihipertenzivni lijekovi kao klonidin i ostali (npr. metildopa, moksonodin, rilmenidin): istovremena primjena centralno djelujućih antihipertenziva može dovesti do smanjenje srčane frekvencije i minutnog volumena srca, vazodilatacija). Nagli prekid, može povećati rizik od „rebound hipertenzije“.</w:t>
      </w:r>
    </w:p>
    <w:p w14:paraId="4DA31E50">
      <w:pPr>
        <w:pStyle w:val="22"/>
        <w:spacing w:before="0" w:beforeAutospacing="0" w:after="0" w:afterAutospacing="0"/>
        <w:jc w:val="both"/>
        <w:rPr>
          <w:rFonts w:ascii="Microsoft Sans Serif" w:hAnsi="Microsoft Sans Serif" w:cs="Microsoft Sans Serif"/>
          <w:bCs/>
          <w:sz w:val="20"/>
          <w:szCs w:val="20"/>
          <w:lang w:val="bs-Latn-BA"/>
        </w:rPr>
      </w:pPr>
    </w:p>
    <w:p w14:paraId="05CEAF1E">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Kombinacije koje treba koristiti sa oprezom</w:t>
      </w:r>
    </w:p>
    <w:p w14:paraId="6520D362">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Antagonisti kalcijuma dihidropiridin tipa kao felodipin, amlodipin i nifedipin: </w:t>
      </w:r>
      <w:r>
        <w:rPr>
          <w:rFonts w:ascii="Microsoft Sans Serif" w:hAnsi="Microsoft Sans Serif" w:cs="Microsoft Sans Serif"/>
          <w:sz w:val="20"/>
          <w:szCs w:val="20"/>
          <w:lang w:val="bs-Latn-BA"/>
        </w:rPr>
        <w:t>Istovremena upotreba može povećati rizik od hipotenzije, te povećanje rizika od daljeg pogoršanja funkcije ventrikularne pumpe kod pacijenata sa srčanim slabostima ne može se isključiti.</w:t>
      </w:r>
    </w:p>
    <w:p w14:paraId="375A4D5D">
      <w:pPr>
        <w:pStyle w:val="22"/>
        <w:spacing w:before="0" w:beforeAutospacing="0" w:after="0" w:afterAutospacing="0"/>
        <w:jc w:val="both"/>
        <w:rPr>
          <w:rFonts w:ascii="Microsoft Sans Serif" w:hAnsi="Microsoft Sans Serif" w:cs="Microsoft Sans Serif"/>
          <w:sz w:val="20"/>
          <w:szCs w:val="20"/>
          <w:lang w:val="bs-Latn-BA"/>
        </w:rPr>
      </w:pPr>
    </w:p>
    <w:p w14:paraId="32E74D17">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 (npr. kinidin, dizopiramid, lidokain, fenitoin, flekainid, propafenon): Uticaj na vrijeme atrio-ventrikularnog sprovođenja može biti potenciran i negativni inotropni efekat povećan (kada se primjenjuje kod pacijenata sa hipertenzijom i anginom pektoris).</w:t>
      </w:r>
    </w:p>
    <w:p w14:paraId="587F1F2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 </w:t>
      </w:r>
    </w:p>
    <w:p w14:paraId="1E56BECE">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III (npr. amiodaron): Uticaj na vrijeme atrio-ventrikularnog sprovođenja može biti potenciran.</w:t>
      </w:r>
    </w:p>
    <w:p w14:paraId="00E2AC66">
      <w:pPr>
        <w:pStyle w:val="22"/>
        <w:spacing w:before="0" w:beforeAutospacing="0" w:after="0" w:afterAutospacing="0"/>
        <w:jc w:val="both"/>
        <w:rPr>
          <w:rFonts w:ascii="Microsoft Sans Serif" w:hAnsi="Microsoft Sans Serif" w:cs="Microsoft Sans Serif"/>
          <w:bCs/>
          <w:sz w:val="20"/>
          <w:szCs w:val="20"/>
          <w:lang w:val="hr-HR"/>
        </w:rPr>
      </w:pPr>
    </w:p>
    <w:p w14:paraId="0C15E4B6">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sz w:val="20"/>
          <w:szCs w:val="20"/>
          <w:lang w:val="bs-Latn-BA"/>
        </w:rPr>
        <w:t xml:space="preserve">Tipični beta-blokatori (npr. kapi za oči za liječenje glaukoma) </w:t>
      </w:r>
      <w:r>
        <w:rPr>
          <w:rFonts w:ascii="Microsoft Sans Serif" w:hAnsi="Microsoft Sans Serif" w:cs="Microsoft Sans Serif"/>
          <w:bCs/>
          <w:sz w:val="20"/>
          <w:szCs w:val="20"/>
          <w:lang w:val="bs-Latn-BA"/>
        </w:rPr>
        <w:t>mogu dovesti do potenciranja sistemskih efekata  bisoprolola.</w:t>
      </w:r>
    </w:p>
    <w:p w14:paraId="3EF3CFD7">
      <w:pPr>
        <w:pStyle w:val="22"/>
        <w:spacing w:before="0" w:beforeAutospacing="0" w:after="0" w:afterAutospacing="0"/>
        <w:jc w:val="both"/>
        <w:rPr>
          <w:rFonts w:ascii="Microsoft Sans Serif" w:hAnsi="Microsoft Sans Serif" w:cs="Microsoft Sans Serif"/>
          <w:sz w:val="20"/>
          <w:szCs w:val="20"/>
          <w:lang w:val="bs-Latn-BA"/>
        </w:rPr>
      </w:pPr>
    </w:p>
    <w:p w14:paraId="1F6CB702">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Parasimpatomimetski lijekovi</w:t>
      </w:r>
      <w:r>
        <w:rPr>
          <w:rFonts w:ascii="Microsoft Sans Serif" w:hAnsi="Microsoft Sans Serif" w:cs="Microsoft Sans Serif"/>
          <w:sz w:val="20"/>
          <w:szCs w:val="20"/>
          <w:lang w:val="bs-Latn-BA"/>
        </w:rPr>
        <w:t xml:space="preserve">: Istovremena primjena </w:t>
      </w:r>
      <w:r>
        <w:rPr>
          <w:rFonts w:ascii="Microsoft Sans Serif" w:hAnsi="Microsoft Sans Serif" w:cs="Microsoft Sans Serif"/>
          <w:bCs/>
          <w:sz w:val="20"/>
          <w:szCs w:val="20"/>
          <w:lang w:val="bs-Latn-BA"/>
        </w:rPr>
        <w:t>može dovesti do produžavanja vremena AV-sprovođenja i povećati rizik od bradikardije.</w:t>
      </w:r>
    </w:p>
    <w:p w14:paraId="28B58B17">
      <w:pPr>
        <w:pStyle w:val="22"/>
        <w:spacing w:before="0" w:beforeAutospacing="0" w:after="0" w:afterAutospacing="0"/>
        <w:jc w:val="both"/>
        <w:rPr>
          <w:rFonts w:ascii="Microsoft Sans Serif" w:hAnsi="Microsoft Sans Serif" w:cs="Microsoft Sans Serif"/>
          <w:sz w:val="20"/>
          <w:szCs w:val="20"/>
          <w:lang w:val="bs-Latn-BA"/>
        </w:rPr>
      </w:pPr>
    </w:p>
    <w:p w14:paraId="2107AE9B">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Inzulin i oralni antidijabetici</w:t>
      </w:r>
      <w:r>
        <w:rPr>
          <w:rFonts w:ascii="Microsoft Sans Serif" w:hAnsi="Microsoft Sans Serif" w:cs="Microsoft Sans Serif"/>
          <w:sz w:val="20"/>
          <w:szCs w:val="20"/>
          <w:lang w:val="bs-Latn-BA"/>
        </w:rPr>
        <w:t xml:space="preserve">: potenciraju hipoglikemijsko djelovanje. Blokada beta-adrenoreceptora </w:t>
      </w:r>
      <w:r>
        <w:rPr>
          <w:rFonts w:ascii="Microsoft Sans Serif" w:hAnsi="Microsoft Sans Serif" w:cs="Microsoft Sans Serif"/>
          <w:bCs/>
          <w:sz w:val="20"/>
          <w:szCs w:val="20"/>
          <w:lang w:val="bs-Latn-BA"/>
        </w:rPr>
        <w:t>može prikriti simptome hipoglikemije.</w:t>
      </w:r>
    </w:p>
    <w:p w14:paraId="3EC22A61">
      <w:pPr>
        <w:pStyle w:val="22"/>
        <w:spacing w:before="0" w:beforeAutospacing="0" w:after="0" w:afterAutospacing="0"/>
        <w:jc w:val="both"/>
        <w:rPr>
          <w:rFonts w:ascii="Microsoft Sans Serif" w:hAnsi="Microsoft Sans Serif" w:cs="Microsoft Sans Serif"/>
          <w:sz w:val="20"/>
          <w:szCs w:val="20"/>
          <w:lang w:val="bs-Latn-BA"/>
        </w:rPr>
      </w:pPr>
    </w:p>
    <w:p w14:paraId="48D3885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Anestetici: Prigušenje refleksne tahikardije i povećanje rizika od hipotenzije (za detaljnije informacije o opštoj anesteziji pogledati dio 4.4).</w:t>
      </w:r>
    </w:p>
    <w:p w14:paraId="76236D44">
      <w:pPr>
        <w:pStyle w:val="22"/>
        <w:spacing w:before="0" w:beforeAutospacing="0" w:after="0" w:afterAutospacing="0"/>
        <w:jc w:val="both"/>
        <w:rPr>
          <w:rFonts w:ascii="Microsoft Sans Serif" w:hAnsi="Microsoft Sans Serif" w:cs="Microsoft Sans Serif"/>
          <w:bCs/>
          <w:sz w:val="20"/>
          <w:szCs w:val="20"/>
          <w:lang w:val="hr-HR"/>
        </w:rPr>
      </w:pPr>
    </w:p>
    <w:p w14:paraId="4823B1D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Srčani glikozidi: Smanjenje broja otkucaja srca, povećanje vremena atrio-ventrikularnog sprovođenja.</w:t>
      </w:r>
    </w:p>
    <w:p w14:paraId="1C6AE49E">
      <w:pPr>
        <w:pStyle w:val="22"/>
        <w:spacing w:before="0" w:beforeAutospacing="0" w:after="0" w:afterAutospacing="0"/>
        <w:jc w:val="both"/>
        <w:rPr>
          <w:rFonts w:ascii="Microsoft Sans Serif" w:hAnsi="Microsoft Sans Serif" w:cs="Microsoft Sans Serif"/>
          <w:sz w:val="20"/>
          <w:szCs w:val="20"/>
          <w:lang w:val="bs-Latn-BA"/>
        </w:rPr>
      </w:pPr>
    </w:p>
    <w:p w14:paraId="4BD154D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Nesteroidni antiinflamatorni lijekovi (NSAIL): NSAIL mogu smanjiti antihipertenzivni efekat bisoprolola.</w:t>
      </w:r>
    </w:p>
    <w:p w14:paraId="38B1AFD3">
      <w:pPr>
        <w:pStyle w:val="22"/>
        <w:spacing w:before="0" w:beforeAutospacing="0" w:after="0" w:afterAutospacing="0"/>
        <w:jc w:val="both"/>
        <w:rPr>
          <w:rFonts w:ascii="Microsoft Sans Serif" w:hAnsi="Microsoft Sans Serif" w:cs="Microsoft Sans Serif"/>
          <w:bCs/>
          <w:sz w:val="20"/>
          <w:szCs w:val="20"/>
          <w:lang w:val="hr-HR"/>
        </w:rPr>
      </w:pPr>
    </w:p>
    <w:p w14:paraId="13B3101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Beta-simpatomimetici (npr. izoprenalin, dobutamin): kombinacija sa bisoprololom može smanjiti efekat oba lijeka.</w:t>
      </w:r>
    </w:p>
    <w:p w14:paraId="577C0A8E">
      <w:pPr>
        <w:pStyle w:val="22"/>
        <w:spacing w:before="0" w:beforeAutospacing="0" w:after="0" w:afterAutospacing="0"/>
        <w:jc w:val="both"/>
        <w:rPr>
          <w:rFonts w:ascii="Microsoft Sans Serif" w:hAnsi="Microsoft Sans Serif" w:cs="Microsoft Sans Serif"/>
          <w:sz w:val="20"/>
          <w:szCs w:val="20"/>
          <w:lang w:val="bs-Latn-BA"/>
        </w:rPr>
      </w:pPr>
    </w:p>
    <w:p w14:paraId="4CADD42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Simpatomimetici koje aktiviraju i beta-adrenoceptore i alfa-adrenoceptore (npr. noradrenalin, adrenalin): Kombinacija sa bisoprololom može razotkriti vazokonstriktorne efekte ovih lijekova posredovanih alfa-adrenoceptora što dovodi do povećanja krvnog pritiska i pogoršanja klaudikacije intermitenta. Smatra se da se takve interakcije više javljaju sa neselektivnim beta-blokatorima.</w:t>
      </w:r>
    </w:p>
    <w:p w14:paraId="43B0016E">
      <w:pPr>
        <w:jc w:val="both"/>
        <w:textAlignment w:val="top"/>
        <w:rPr>
          <w:rFonts w:ascii="Microsoft Sans Serif" w:hAnsi="Microsoft Sans Serif" w:cs="Microsoft Sans Serif"/>
          <w:sz w:val="20"/>
          <w:lang w:val="bs-Latn-BA" w:eastAsia="en-GB"/>
        </w:rPr>
      </w:pPr>
    </w:p>
    <w:p w14:paraId="5233B41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Simpatomimetici: Kombinacija sa bisoprololom može smanjiti dejstvo oba lijeka. Veće doze epinefrina mogu biti neophodni u tretmanu alergijskih reakcija.</w:t>
      </w:r>
    </w:p>
    <w:p w14:paraId="249011F3">
      <w:pPr>
        <w:autoSpaceDE w:val="0"/>
        <w:autoSpaceDN w:val="0"/>
        <w:adjustRightInd w:val="0"/>
        <w:jc w:val="both"/>
        <w:rPr>
          <w:rFonts w:ascii="Microsoft Sans Serif" w:hAnsi="Microsoft Sans Serif" w:cs="Microsoft Sans Serif"/>
          <w:sz w:val="20"/>
          <w:lang w:val="bs-Latn-BA" w:eastAsia="en-GB"/>
        </w:rPr>
      </w:pPr>
    </w:p>
    <w:p w14:paraId="31F172B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primjena sa antihipertenzivima, kao i sa drugim lijekovima koji imaju potencijal snižavanja krvnog pritiska (npr. triciklički antidepresivi, barbiturati, fenotijazini) mogu povećati rizik od hipotenzije.</w:t>
      </w:r>
    </w:p>
    <w:p w14:paraId="16CAC8AD">
      <w:pPr>
        <w:autoSpaceDE w:val="0"/>
        <w:autoSpaceDN w:val="0"/>
        <w:adjustRightInd w:val="0"/>
        <w:jc w:val="both"/>
        <w:rPr>
          <w:rFonts w:ascii="Microsoft Sans Serif" w:hAnsi="Microsoft Sans Serif" w:cs="Microsoft Sans Serif"/>
          <w:sz w:val="20"/>
          <w:lang w:val="bs-Latn-BA" w:eastAsia="en-GB"/>
        </w:rPr>
      </w:pPr>
    </w:p>
    <w:p w14:paraId="72481055">
      <w:pPr>
        <w:pStyle w:val="22"/>
        <w:spacing w:before="0" w:beforeAutospacing="0" w:after="0" w:afterAutospacing="0"/>
        <w:jc w:val="both"/>
        <w:rPr>
          <w:rFonts w:ascii="Microsoft Sans Serif" w:hAnsi="Microsoft Sans Serif" w:cs="Microsoft Sans Serif"/>
          <w:sz w:val="20"/>
          <w:szCs w:val="20"/>
          <w:u w:val="single"/>
          <w:lang w:val="bs-Latn-BA"/>
        </w:rPr>
      </w:pPr>
      <w:r>
        <w:rPr>
          <w:rFonts w:ascii="Microsoft Sans Serif" w:hAnsi="Microsoft Sans Serif" w:cs="Microsoft Sans Serif"/>
          <w:i/>
          <w:iCs/>
          <w:sz w:val="20"/>
          <w:szCs w:val="20"/>
          <w:u w:val="single"/>
          <w:lang w:val="bs-Latn-BA"/>
        </w:rPr>
        <w:t>Kombinacije koje treba razmotriti</w:t>
      </w:r>
    </w:p>
    <w:p w14:paraId="51A77A3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Meflokin: može povećati rizik od bradikardije.</w:t>
      </w:r>
    </w:p>
    <w:p w14:paraId="2107D0F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Inhibitori monoaminooksidaze (osim MAO-B inhibitora): Poboljšavaju hipotenzivni efekat beta-blokatora, ali i rizik za hipertenzivnu krizu.</w:t>
      </w:r>
    </w:p>
    <w:p w14:paraId="43E876C9">
      <w:pPr>
        <w:pStyle w:val="22"/>
        <w:spacing w:before="0" w:beforeAutospacing="0" w:after="0" w:afterAutospacing="0"/>
        <w:jc w:val="both"/>
        <w:rPr>
          <w:rFonts w:ascii="Microsoft Sans Serif" w:hAnsi="Microsoft Sans Serif" w:cs="Microsoft Sans Serif"/>
          <w:sz w:val="20"/>
          <w:szCs w:val="20"/>
        </w:rPr>
      </w:pPr>
    </w:p>
    <w:p w14:paraId="4821DBC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55FA3F0F">
      <w:pPr>
        <w:jc w:val="both"/>
        <w:rPr>
          <w:rFonts w:ascii="Microsoft Sans Serif" w:hAnsi="Microsoft Sans Serif" w:cs="Microsoft Sans Serif"/>
          <w:sz w:val="20"/>
          <w:lang w:val="bs-Latn-BA"/>
        </w:rPr>
      </w:pPr>
    </w:p>
    <w:p w14:paraId="7C51F863">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6FB2FB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Bisoprolol ima farmakološka djelovanja koja izazivaju štetne efekte na trudnoću i/ili fetus/novorođenče. Poznato je da beta-blokatori smanjuju placentarnu perfuziju, što može dovesti do zastoja u rastu, intrauterine smrti ploda, abortusa ili ranog porođaja. Neželjena djelovanja, kao što su hipoglikemija i bradikardija mogu da se pojave i kod fetusa i kod novorođenčeta. Ukoliko je potrebno liječenje sa adrenoreceptornim blokatorima, preferiraju se beta-1 selektivni adrenoreceptorni blokatori. </w:t>
      </w:r>
    </w:p>
    <w:p w14:paraId="405EC2D0">
      <w:pPr>
        <w:jc w:val="both"/>
        <w:rPr>
          <w:rFonts w:ascii="Microsoft Sans Serif" w:hAnsi="Microsoft Sans Serif" w:cs="Microsoft Sans Serif"/>
          <w:sz w:val="20"/>
          <w:lang w:val="bs-Latn-BA"/>
        </w:rPr>
      </w:pPr>
    </w:p>
    <w:p w14:paraId="0E646E52">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Bisoprolol se ne preporučuje tokom trudnoće, osim ako to nije neophodno. </w:t>
      </w:r>
      <w:r>
        <w:rPr>
          <w:rFonts w:ascii="Microsoft Sans Serif" w:hAnsi="Microsoft Sans Serif" w:cs="Microsoft Sans Serif"/>
          <w:sz w:val="20"/>
          <w:lang w:val="bs-Latn-BA"/>
        </w:rPr>
        <w:t>U slučaju da je neophodan tretman sa bisoprololom, mora se trajno pratiti uteroplacentarna cirkulacija i rast fetusa.</w:t>
      </w:r>
      <w:r>
        <w:rPr>
          <w:rFonts w:ascii="Microsoft Sans Serif" w:hAnsi="Microsoft Sans Serif" w:cs="Microsoft Sans Serif"/>
          <w:sz w:val="20"/>
          <w:lang w:val="bs-Latn-BA" w:eastAsia="en-GB"/>
        </w:rPr>
        <w:t xml:space="preserve"> U slučaju štetnih djelovanja na trudnoću ili fetus preporučuje se razmotriti alternativno liječenje. Novorođenče treba pažljivo pratiti. Simptomi hipoglikemije i bradikardije se očekuju u toku prva tri dana.</w:t>
      </w:r>
    </w:p>
    <w:p w14:paraId="3DE90194">
      <w:pPr>
        <w:jc w:val="both"/>
        <w:rPr>
          <w:rFonts w:ascii="Microsoft Sans Serif" w:hAnsi="Microsoft Sans Serif" w:cs="Microsoft Sans Serif"/>
          <w:sz w:val="20"/>
          <w:lang w:val="bs-Latn-BA"/>
        </w:rPr>
      </w:pPr>
    </w:p>
    <w:p w14:paraId="2EEE50AD">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eastAsia="en-GB"/>
        </w:rPr>
        <w:t>Laktacija</w:t>
      </w:r>
    </w:p>
    <w:p w14:paraId="0799C26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poznato da li se lijek izlučuje u majčinom mlijeku. Ne preporučuje se dojenje tokom liječenja bisoprololom.</w:t>
      </w:r>
    </w:p>
    <w:p w14:paraId="30C2F2A8">
      <w:pPr>
        <w:jc w:val="both"/>
        <w:rPr>
          <w:rFonts w:ascii="Microsoft Sans Serif" w:hAnsi="Microsoft Sans Serif" w:cs="Microsoft Sans Serif"/>
          <w:sz w:val="20"/>
          <w:lang w:val="hr-HR"/>
        </w:rPr>
      </w:pPr>
    </w:p>
    <w:p w14:paraId="41E3F4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612F061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6409676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studiji sa pacijentima sa koronarnom srčanom bolesti bisoprolol nije djelovao na vozačke sposobnosti pacijenta. Ipak, zavisno od individualnog odgovora na liječenje, može da dođe do smanjene sposobnosti za upravljanje vozilima ili rukovanje mašinama. Ovo treba uzeti u obzir posebno na početku liječenja, nakon promjene lijekova ili u kombinaciji sa alkoholom.</w:t>
      </w:r>
    </w:p>
    <w:p w14:paraId="479C06A3">
      <w:pPr>
        <w:jc w:val="both"/>
        <w:rPr>
          <w:rFonts w:ascii="Microsoft Sans Serif" w:hAnsi="Microsoft Sans Serif" w:cs="Microsoft Sans Serif"/>
          <w:sz w:val="20"/>
          <w:lang w:val="it-IT"/>
        </w:rPr>
      </w:pPr>
    </w:p>
    <w:p w14:paraId="66C0959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5370BB0">
      <w:pPr>
        <w:jc w:val="both"/>
        <w:rPr>
          <w:rFonts w:ascii="Microsoft Sans Serif" w:hAnsi="Microsoft Sans Serif" w:cs="Microsoft Sans Serif"/>
          <w:sz w:val="20"/>
          <w:lang w:val="bs-Latn-BA"/>
        </w:rPr>
      </w:pPr>
    </w:p>
    <w:p w14:paraId="2BC805E7">
      <w:pPr>
        <w:jc w:val="both"/>
        <w:rPr>
          <w:rFonts w:ascii="Microsoft Sans Serif" w:hAnsi="Microsoft Sans Serif" w:cs="Microsoft Sans Serif"/>
          <w:sz w:val="20"/>
          <w:lang w:val="bs-Latn-BA"/>
        </w:rPr>
      </w:pPr>
      <w:r>
        <w:rPr>
          <w:rStyle w:val="31"/>
          <w:rFonts w:ascii="Microsoft Sans Serif" w:hAnsi="Microsoft Sans Serif" w:cs="Microsoft Sans Serif"/>
          <w:sz w:val="20"/>
          <w:lang w:val="bs-Latn-BA"/>
        </w:rPr>
        <w:t>Neželjena djelovanja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su</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kategorizovana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organskim sistemima.</w:t>
      </w:r>
    </w:p>
    <w:p w14:paraId="339733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Učestalost neželjenih dejstava definisana je kao: vrlo često (≥ 10), često (≥ 1/100 do &lt; 1/10), manje često (≥ 1/1.000 do &lt; 1/100), rijetko (≥ 1/10.000 do &lt; 1/1.000), vrlo rijetko (&lt; 1/10.000), nepoznato (ne može se procijeniti iz dostupnih podataka).</w:t>
      </w:r>
    </w:p>
    <w:p w14:paraId="4AAA305C">
      <w:pPr>
        <w:jc w:val="both"/>
        <w:rPr>
          <w:rFonts w:ascii="Microsoft Sans Serif" w:hAnsi="Microsoft Sans Serif" w:cs="Microsoft Sans Serif"/>
          <w:sz w:val="20"/>
          <w:lang w:val="bs-Latn-BA" w:eastAsia="en-GB"/>
        </w:rPr>
      </w:pPr>
    </w:p>
    <w:p w14:paraId="7E0E15CE">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Srčani poremećaji</w:t>
      </w:r>
    </w:p>
    <w:p w14:paraId="7D677E9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bradikardija</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koji pate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eastAsia="en-GB"/>
        </w:rPr>
        <w:t xml:space="preserve">). </w:t>
      </w:r>
    </w:p>
    <w:p w14:paraId="067133C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pogoršanje srčane slabosti</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koji pate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eastAsia="en-GB"/>
        </w:rPr>
        <w:t xml:space="preserve">). </w:t>
      </w:r>
    </w:p>
    <w:p w14:paraId="3FDB9AE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AV-sprovođenja</w:t>
      </w:r>
      <w:r>
        <w:rPr>
          <w:rFonts w:ascii="Microsoft Sans Serif" w:hAnsi="Microsoft Sans Serif" w:cs="Microsoft Sans Serif"/>
          <w:sz w:val="20"/>
          <w:lang w:val="bs-Latn-BA" w:eastAsia="en-GB"/>
        </w:rPr>
        <w:t xml:space="preserve">, bradikardija i </w:t>
      </w:r>
      <w:r>
        <w:rPr>
          <w:rFonts w:ascii="Microsoft Sans Serif" w:hAnsi="Microsoft Sans Serif" w:cs="Microsoft Sans Serif"/>
          <w:sz w:val="20"/>
          <w:lang w:val="bs-Latn-BA"/>
        </w:rPr>
        <w:t>pogoršanje već postojeće srčane slabosti</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hipertenzijom ili anginom pektoris</w:t>
      </w:r>
      <w:r>
        <w:rPr>
          <w:rFonts w:ascii="Microsoft Sans Serif" w:hAnsi="Microsoft Sans Serif" w:cs="Microsoft Sans Serif"/>
          <w:sz w:val="20"/>
          <w:lang w:val="bs-Latn-BA" w:eastAsia="en-GB"/>
        </w:rPr>
        <w:t>).</w:t>
      </w:r>
    </w:p>
    <w:p w14:paraId="66D177D0">
      <w:pPr>
        <w:jc w:val="both"/>
        <w:rPr>
          <w:rFonts w:ascii="Microsoft Sans Serif" w:hAnsi="Microsoft Sans Serif" w:cs="Microsoft Sans Serif"/>
          <w:sz w:val="20"/>
          <w:lang w:val="bs-Latn-BA" w:eastAsia="en-GB"/>
        </w:rPr>
      </w:pPr>
    </w:p>
    <w:p w14:paraId="0CEE4AB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Pretrage</w:t>
      </w:r>
    </w:p>
    <w:p w14:paraId="2CB62F3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nivoa triglicerida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vrijednosti jetrenih enzima</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 xml:space="preserve">(ALAT, ASAT). </w:t>
      </w:r>
    </w:p>
    <w:p w14:paraId="643F3DA8">
      <w:pPr>
        <w:jc w:val="both"/>
        <w:rPr>
          <w:rFonts w:ascii="Microsoft Sans Serif" w:hAnsi="Microsoft Sans Serif" w:cs="Microsoft Sans Serif"/>
          <w:sz w:val="20"/>
          <w:lang w:val="bs-Latn-BA"/>
        </w:rPr>
      </w:pPr>
    </w:p>
    <w:p w14:paraId="692D3197">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nervnog sistema</w:t>
      </w:r>
    </w:p>
    <w:p w14:paraId="05D46CB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vrtoglavica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glavobolja</w:t>
      </w:r>
      <w:r>
        <w:rPr>
          <w:rFonts w:ascii="Microsoft Sans Serif" w:hAnsi="Microsoft Sans Serif" w:cs="Microsoft Sans Serif"/>
          <w:sz w:val="20"/>
          <w:lang w:val="bs-Latn-BA" w:eastAsia="en-GB"/>
        </w:rPr>
        <w:t xml:space="preserve">*. </w:t>
      </w:r>
    </w:p>
    <w:p w14:paraId="415B497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sinkopa</w:t>
      </w:r>
      <w:r>
        <w:rPr>
          <w:rFonts w:ascii="Microsoft Sans Serif" w:hAnsi="Microsoft Sans Serif" w:cs="Microsoft Sans Serif"/>
          <w:sz w:val="20"/>
          <w:lang w:val="bs-Latn-BA" w:eastAsia="en-GB"/>
        </w:rPr>
        <w:t>.</w:t>
      </w:r>
    </w:p>
    <w:p w14:paraId="661D979E">
      <w:pPr>
        <w:jc w:val="both"/>
        <w:rPr>
          <w:rFonts w:ascii="Microsoft Sans Serif" w:hAnsi="Microsoft Sans Serif" w:cs="Microsoft Sans Serif"/>
          <w:sz w:val="20"/>
          <w:lang w:val="bs-Latn-BA"/>
        </w:rPr>
      </w:pPr>
    </w:p>
    <w:p w14:paraId="184E763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oka</w:t>
      </w:r>
    </w:p>
    <w:p w14:paraId="151B0D4E">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 xml:space="preserve">smanjeno stvaranje suza </w:t>
      </w:r>
      <w:r>
        <w:rPr>
          <w:rFonts w:ascii="Microsoft Sans Serif" w:hAnsi="Microsoft Sans Serif" w:cs="Microsoft Sans Serif"/>
          <w:sz w:val="20"/>
          <w:lang w:val="en-GB"/>
        </w:rPr>
        <w:t>(kod osoba koji koriste kontaktna sočiva)</w:t>
      </w:r>
      <w:r>
        <w:rPr>
          <w:rFonts w:ascii="Microsoft Sans Serif" w:hAnsi="Microsoft Sans Serif" w:cs="Microsoft Sans Serif"/>
          <w:sz w:val="20"/>
          <w:lang w:val="bs-Latn-BA" w:eastAsia="en-GB"/>
        </w:rPr>
        <w:t xml:space="preserve">. </w:t>
      </w:r>
    </w:p>
    <w:p w14:paraId="49DA289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konjunktivitis</w:t>
      </w:r>
      <w:r>
        <w:rPr>
          <w:rFonts w:ascii="Microsoft Sans Serif" w:hAnsi="Microsoft Sans Serif" w:cs="Microsoft Sans Serif"/>
          <w:sz w:val="20"/>
          <w:lang w:val="bs-Latn-BA" w:eastAsia="en-GB"/>
        </w:rPr>
        <w:t xml:space="preserve">. </w:t>
      </w:r>
    </w:p>
    <w:p w14:paraId="515374EE">
      <w:pPr>
        <w:jc w:val="both"/>
        <w:rPr>
          <w:rFonts w:ascii="Microsoft Sans Serif" w:hAnsi="Microsoft Sans Serif" w:cs="Microsoft Sans Serif"/>
          <w:sz w:val="20"/>
        </w:rPr>
      </w:pPr>
    </w:p>
    <w:p w14:paraId="09B9AD06">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uha i labirinta</w:t>
      </w:r>
    </w:p>
    <w:p w14:paraId="332F7B80">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sluha</w:t>
      </w:r>
      <w:r>
        <w:rPr>
          <w:rFonts w:ascii="Microsoft Sans Serif" w:hAnsi="Microsoft Sans Serif" w:cs="Microsoft Sans Serif"/>
          <w:sz w:val="20"/>
          <w:lang w:val="bs-Latn-BA" w:eastAsia="en-GB"/>
        </w:rPr>
        <w:t xml:space="preserve">. </w:t>
      </w:r>
    </w:p>
    <w:p w14:paraId="3FA19971">
      <w:pPr>
        <w:jc w:val="both"/>
        <w:rPr>
          <w:rFonts w:ascii="Microsoft Sans Serif" w:hAnsi="Microsoft Sans Serif" w:cs="Microsoft Sans Serif"/>
          <w:sz w:val="20"/>
          <w:lang w:val="bs-Latn-BA"/>
        </w:rPr>
      </w:pPr>
    </w:p>
    <w:p w14:paraId="358869E1">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Respiratorni, torakalni i medijastinalni poremećaji</w:t>
      </w:r>
    </w:p>
    <w:p w14:paraId="4D52B0CF">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Manje često: </w:t>
      </w:r>
      <w:r>
        <w:rPr>
          <w:rFonts w:ascii="Microsoft Sans Serif" w:hAnsi="Microsoft Sans Serif" w:cs="Microsoft Sans Serif"/>
          <w:iCs/>
          <w:sz w:val="20"/>
          <w:szCs w:val="20"/>
          <w:lang w:val="bs-Latn-BA"/>
        </w:rPr>
        <w:t>bronhospazam kod pacijenata koji boluju od astme ili neke druge opstruktivne bolesti disajnih puteva.</w:t>
      </w:r>
    </w:p>
    <w:p w14:paraId="7855C76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alergijski r</w:t>
      </w:r>
      <w:r>
        <w:rPr>
          <w:rFonts w:ascii="Microsoft Sans Serif" w:hAnsi="Microsoft Sans Serif" w:cs="Microsoft Sans Serif"/>
          <w:sz w:val="20"/>
          <w:lang w:val="bs-Latn-BA" w:eastAsia="en-GB"/>
        </w:rPr>
        <w:t xml:space="preserve">initis. </w:t>
      </w:r>
    </w:p>
    <w:p w14:paraId="0DCF5180">
      <w:pPr>
        <w:jc w:val="both"/>
        <w:rPr>
          <w:rFonts w:ascii="Microsoft Sans Serif" w:hAnsi="Microsoft Sans Serif" w:cs="Microsoft Sans Serif"/>
          <w:sz w:val="20"/>
          <w:lang w:val="bs-Latn-BA"/>
        </w:rPr>
      </w:pPr>
    </w:p>
    <w:p w14:paraId="65764CE0">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Gastrointestinalni poremećaji</w:t>
      </w:r>
    </w:p>
    <w:p w14:paraId="0670221E">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gastrointestinalne smetnje,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kao što su:</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mučnina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povraćanje</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proliv</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opstipacija</w:t>
      </w:r>
      <w:r>
        <w:rPr>
          <w:rFonts w:ascii="Microsoft Sans Serif" w:hAnsi="Microsoft Sans Serif" w:cs="Microsoft Sans Serif"/>
          <w:sz w:val="20"/>
          <w:lang w:val="bs-Latn-BA" w:eastAsia="en-GB"/>
        </w:rPr>
        <w:t xml:space="preserve">. </w:t>
      </w:r>
    </w:p>
    <w:p w14:paraId="16D98C3A">
      <w:pPr>
        <w:pStyle w:val="25"/>
        <w:jc w:val="both"/>
        <w:rPr>
          <w:rFonts w:ascii="Microsoft Sans Serif" w:hAnsi="Microsoft Sans Serif" w:cs="Microsoft Sans Serif"/>
          <w:b w:val="0"/>
          <w:i/>
          <w:position w:val="0"/>
          <w:sz w:val="20"/>
          <w:u w:val="single"/>
          <w:lang w:val="bs-Latn-BA"/>
        </w:rPr>
      </w:pPr>
    </w:p>
    <w:p w14:paraId="32E550CE">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kože i potkožnog tkiva</w:t>
      </w:r>
    </w:p>
    <w:p w14:paraId="2259D078">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reakcije preosjetljivosti (crvenilo, osip, svrab).</w:t>
      </w:r>
    </w:p>
    <w:p w14:paraId="6A9F5911">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Vrlo rijetko: beta-blokatori mogu izazvati ili pogoršati psorijazu </w:t>
      </w:r>
      <w:r>
        <w:rPr>
          <w:rFonts w:ascii="Microsoft Sans Serif" w:hAnsi="Microsoft Sans Serif" w:cs="Microsoft Sans Serif"/>
          <w:iCs/>
          <w:sz w:val="20"/>
          <w:szCs w:val="20"/>
          <w:lang w:val="bs-Latn-BA"/>
        </w:rPr>
        <w:t>ili početak osipa sličnog psorijazi, alopecija.</w:t>
      </w:r>
    </w:p>
    <w:p w14:paraId="7E28DA55">
      <w:pPr>
        <w:jc w:val="both"/>
        <w:rPr>
          <w:rFonts w:ascii="Microsoft Sans Serif" w:hAnsi="Microsoft Sans Serif" w:cs="Microsoft Sans Serif"/>
          <w:sz w:val="20"/>
          <w:lang w:val="bs-Latn-BA"/>
        </w:rPr>
      </w:pPr>
    </w:p>
    <w:p w14:paraId="004CE412">
      <w:pPr>
        <w:jc w:val="both"/>
        <w:rPr>
          <w:rFonts w:ascii="Microsoft Sans Serif" w:hAnsi="Microsoft Sans Serif" w:cs="Microsoft Sans Serif"/>
          <w:i/>
          <w:sz w:val="20"/>
          <w:u w:val="single"/>
          <w:lang w:val="bs-Latn-BA"/>
        </w:rPr>
      </w:pPr>
      <w:r>
        <w:rPr>
          <w:rFonts w:ascii="Microsoft Sans Serif" w:hAnsi="Microsoft Sans Serif" w:cs="Microsoft Sans Serif"/>
          <w:i/>
          <w:sz w:val="20"/>
          <w:u w:val="single"/>
          <w:lang w:val="bs-Latn-BA"/>
        </w:rPr>
        <w:t xml:space="preserve">Poremećaji mišićno-koštanog sistema i vezivnog tkiva </w:t>
      </w:r>
    </w:p>
    <w:p w14:paraId="20D63D50">
      <w:pPr>
        <w:jc w:val="both"/>
        <w:rPr>
          <w:rFonts w:ascii="Microsoft Sans Serif" w:hAnsi="Microsoft Sans Serif" w:cs="Microsoft Sans Serif"/>
          <w:i/>
          <w:iCs/>
          <w:sz w:val="20"/>
          <w:lang w:val="bs-Latn-BA"/>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mišićna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slabost</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mišićni grčevi.</w:t>
      </w:r>
    </w:p>
    <w:p w14:paraId="55FAF76F">
      <w:pPr>
        <w:pStyle w:val="25"/>
        <w:jc w:val="both"/>
        <w:rPr>
          <w:rFonts w:ascii="Microsoft Sans Serif" w:hAnsi="Microsoft Sans Serif" w:cs="Microsoft Sans Serif"/>
          <w:b w:val="0"/>
          <w:i/>
          <w:position w:val="0"/>
          <w:sz w:val="20"/>
          <w:u w:val="single"/>
          <w:lang w:val="bs-Latn-BA"/>
        </w:rPr>
      </w:pPr>
    </w:p>
    <w:p w14:paraId="17F34F98">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Vaskularni poremećaji</w:t>
      </w:r>
    </w:p>
    <w:p w14:paraId="6C412DC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osjećaj</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hladnoće ili trnjenja u ekstremitetima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hipotenzija</w:t>
      </w:r>
      <w:r>
        <w:rPr>
          <w:rFonts w:ascii="Microsoft Sans Serif" w:hAnsi="Microsoft Sans Serif" w:cs="Microsoft Sans Serif"/>
          <w:sz w:val="20"/>
          <w:lang w:val="bs-Latn-BA" w:eastAsia="en-GB"/>
        </w:rPr>
        <w:t xml:space="preserve">. </w:t>
      </w:r>
    </w:p>
    <w:p w14:paraId="1B85B73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Manje često: ortostatska hipotenzija</w:t>
      </w:r>
    </w:p>
    <w:p w14:paraId="73D24198">
      <w:pPr>
        <w:jc w:val="both"/>
        <w:rPr>
          <w:rFonts w:ascii="Microsoft Sans Serif" w:hAnsi="Microsoft Sans Serif" w:cs="Microsoft Sans Serif"/>
          <w:sz w:val="20"/>
          <w:lang w:val="bs-Latn-BA"/>
        </w:rPr>
      </w:pPr>
    </w:p>
    <w:p w14:paraId="642B6026">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 xml:space="preserve">Opšti poremećaji i reakcije na mjestu primjene </w:t>
      </w:r>
    </w:p>
    <w:p w14:paraId="6F147C6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astenija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hroničnom srčanom slabošću</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umor</w:t>
      </w:r>
      <w:r>
        <w:rPr>
          <w:rFonts w:ascii="Microsoft Sans Serif" w:hAnsi="Microsoft Sans Serif" w:cs="Microsoft Sans Serif"/>
          <w:sz w:val="20"/>
          <w:lang w:val="bs-Latn-BA" w:eastAsia="en-GB"/>
        </w:rPr>
        <w:t>*.</w:t>
      </w:r>
    </w:p>
    <w:p w14:paraId="7FF64DA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astenija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anginom pektoris</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ili</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hipertenzijom</w:t>
      </w:r>
      <w:r>
        <w:rPr>
          <w:rFonts w:ascii="Microsoft Sans Serif" w:hAnsi="Microsoft Sans Serif" w:cs="Microsoft Sans Serif"/>
          <w:sz w:val="20"/>
          <w:lang w:val="bs-Latn-BA" w:eastAsia="en-GB"/>
        </w:rPr>
        <w:t>).</w:t>
      </w:r>
    </w:p>
    <w:p w14:paraId="270D8A16">
      <w:pPr>
        <w:jc w:val="both"/>
        <w:rPr>
          <w:rFonts w:ascii="Microsoft Sans Serif" w:hAnsi="Microsoft Sans Serif" w:cs="Microsoft Sans Serif"/>
          <w:sz w:val="20"/>
          <w:lang w:val="bs-Latn-BA"/>
        </w:rPr>
      </w:pPr>
    </w:p>
    <w:p w14:paraId="4D772B0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Hepatobilijarni poremećaji</w:t>
      </w:r>
    </w:p>
    <w:p w14:paraId="6FBBB9B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hepatitis. </w:t>
      </w:r>
    </w:p>
    <w:p w14:paraId="0FD05E1A">
      <w:pPr>
        <w:jc w:val="both"/>
        <w:rPr>
          <w:rFonts w:ascii="Microsoft Sans Serif" w:hAnsi="Microsoft Sans Serif" w:cs="Microsoft Sans Serif"/>
          <w:sz w:val="20"/>
          <w:lang w:val="bs-Latn-BA"/>
        </w:rPr>
      </w:pPr>
    </w:p>
    <w:p w14:paraId="47B6BCF9">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reproduktivnog sistema i dojki</w:t>
      </w:r>
    </w:p>
    <w:p w14:paraId="487C78C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potencije</w:t>
      </w:r>
      <w:r>
        <w:rPr>
          <w:rFonts w:ascii="Microsoft Sans Serif" w:hAnsi="Microsoft Sans Serif" w:cs="Microsoft Sans Serif"/>
          <w:sz w:val="20"/>
          <w:lang w:val="bs-Latn-BA" w:eastAsia="en-GB"/>
        </w:rPr>
        <w:t xml:space="preserve">. </w:t>
      </w:r>
    </w:p>
    <w:p w14:paraId="6A31EF03">
      <w:pPr>
        <w:jc w:val="both"/>
        <w:rPr>
          <w:rFonts w:ascii="Microsoft Sans Serif" w:hAnsi="Microsoft Sans Serif" w:cs="Microsoft Sans Serif"/>
          <w:sz w:val="20"/>
          <w:lang w:val="bs-Latn-BA"/>
        </w:rPr>
      </w:pPr>
    </w:p>
    <w:p w14:paraId="18AB30F1">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Psihijatrijski poremećaji</w:t>
      </w:r>
    </w:p>
    <w:p w14:paraId="7A8141C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spavanja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depresija</w:t>
      </w:r>
      <w:r>
        <w:rPr>
          <w:rFonts w:ascii="Microsoft Sans Serif" w:hAnsi="Microsoft Sans Serif" w:cs="Microsoft Sans Serif"/>
          <w:sz w:val="20"/>
          <w:lang w:val="bs-Latn-BA" w:eastAsia="en-GB"/>
        </w:rPr>
        <w:t xml:space="preserve">. </w:t>
      </w:r>
    </w:p>
    <w:p w14:paraId="4BC539E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košmarni snovi</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halucinacije</w:t>
      </w:r>
      <w:r>
        <w:rPr>
          <w:rFonts w:ascii="Microsoft Sans Serif" w:hAnsi="Microsoft Sans Serif" w:cs="Microsoft Sans Serif"/>
          <w:sz w:val="20"/>
          <w:lang w:val="bs-Latn-BA" w:eastAsia="en-GB"/>
        </w:rPr>
        <w:t>.</w:t>
      </w:r>
    </w:p>
    <w:p w14:paraId="684BE946">
      <w:pPr>
        <w:jc w:val="both"/>
        <w:rPr>
          <w:rFonts w:ascii="Microsoft Sans Serif" w:hAnsi="Microsoft Sans Serif" w:cs="Microsoft Sans Serif"/>
          <w:sz w:val="20"/>
          <w:lang w:val="bs-Latn-BA"/>
        </w:rPr>
      </w:pPr>
    </w:p>
    <w:p w14:paraId="300B8AC6">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iCs/>
          <w:sz w:val="20"/>
          <w:szCs w:val="20"/>
          <w:lang w:val="bs-Latn-BA"/>
        </w:rPr>
        <w:t xml:space="preserve">Ovi simptomi se javljaju </w:t>
      </w:r>
      <w:r>
        <w:rPr>
          <w:rFonts w:ascii="Microsoft Sans Serif" w:hAnsi="Microsoft Sans Serif" w:cs="Microsoft Sans Serif"/>
          <w:sz w:val="20"/>
          <w:szCs w:val="20"/>
          <w:lang w:val="bs-Latn-BA"/>
        </w:rPr>
        <w:t xml:space="preserve">kod pacijenata koji pate od angine ili hipertenzije </w:t>
      </w:r>
      <w:r>
        <w:rPr>
          <w:rFonts w:ascii="Microsoft Sans Serif" w:hAnsi="Microsoft Sans Serif" w:cs="Microsoft Sans Serif"/>
          <w:iCs/>
          <w:sz w:val="20"/>
          <w:szCs w:val="20"/>
          <w:lang w:val="bs-Latn-BA"/>
        </w:rPr>
        <w:t xml:space="preserve">posebno na početku terapije. Uglavnom su blagi i obično nestaju nakon jednu do dvije sedmice. </w:t>
      </w:r>
    </w:p>
    <w:p w14:paraId="45D79DE1">
      <w:pPr>
        <w:jc w:val="both"/>
        <w:rPr>
          <w:rFonts w:ascii="Microsoft Sans Serif" w:hAnsi="Microsoft Sans Serif" w:cs="Microsoft Sans Serif"/>
          <w:sz w:val="20"/>
        </w:rPr>
      </w:pPr>
    </w:p>
    <w:p w14:paraId="7BD0934E">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BB01DF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7E7B0FC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2185CB1">
      <w:pPr>
        <w:widowControl/>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0BA8DCA1">
      <w:pPr>
        <w:widowControl/>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6824B64C">
      <w:pPr>
        <w:jc w:val="both"/>
        <w:rPr>
          <w:rFonts w:ascii="Microsoft Sans Serif" w:hAnsi="Microsoft Sans Serif" w:cs="Microsoft Sans Serif"/>
          <w:sz w:val="20"/>
        </w:rPr>
      </w:pPr>
    </w:p>
    <w:p w14:paraId="6372691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73644EA">
      <w:pPr>
        <w:jc w:val="both"/>
        <w:rPr>
          <w:rFonts w:ascii="Microsoft Sans Serif" w:hAnsi="Microsoft Sans Serif" w:cs="Microsoft Sans Serif"/>
          <w:sz w:val="20"/>
          <w:lang w:val="bs-Latn-BA"/>
        </w:rPr>
      </w:pPr>
    </w:p>
    <w:p w14:paraId="37FE8945">
      <w:pPr>
        <w:pStyle w:val="43"/>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3AE4E1C0">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predoziranja (npr. dnevna doza od 15 mg umjesto 7,5 mg) javili su AV-blok trećeg stepena, bradikardija i vrtoglavica. Najčešći očekivani simptomi pri predoziranju sa beta-blokatorima su bradikardija, hipotenzija, bronhospazam, akutna srčana insuficijencija i hipoglikemija. Do sada je nekoliko slučajeva predoziranja (maksimalno: 2.000 mg) sa bisoprololom zabilježeno kod pacijenata koji pate od hipertenzije i/ili koronarne bolesti srca pokazujući bradikardiju i/ili hipotenziju; svi pacijenti su se oporavili. Postoje široke interindividualne varijacije u osjetljivosti sa jednom visokom dozom bisoprolola i pacijenti sa srčanom slabošću su vjerovatno vrlo osjetljivi.</w:t>
      </w:r>
      <w:r>
        <w:rPr>
          <w:rStyle w:val="23"/>
          <w:rFonts w:ascii="Microsoft Sans Serif" w:hAnsi="Microsoft Sans Serif" w:cs="Microsoft Sans Serif"/>
          <w:lang w:val="bs-Latn-BA"/>
        </w:rPr>
        <w:t xml:space="preserve"> </w:t>
      </w:r>
      <w:r>
        <w:rPr>
          <w:rFonts w:ascii="Microsoft Sans Serif" w:hAnsi="Microsoft Sans Serif" w:cs="Microsoft Sans Serif"/>
          <w:sz w:val="20"/>
          <w:lang w:val="bs-Latn-BA" w:eastAsia="en-GB"/>
        </w:rPr>
        <w:t>Stoga je obavezno pokrenuti liječenje ovih pacijenata sa postepenim povećenjem doze doze prema šemi navedenoj u dijelu 4.2.</w:t>
      </w:r>
    </w:p>
    <w:p w14:paraId="79B559BD">
      <w:pPr>
        <w:jc w:val="both"/>
        <w:textAlignment w:val="top"/>
        <w:rPr>
          <w:rFonts w:ascii="Microsoft Sans Serif" w:hAnsi="Microsoft Sans Serif" w:cs="Microsoft Sans Serif"/>
          <w:sz w:val="20"/>
          <w:lang w:val="bs-Latn-BA" w:eastAsia="en-GB"/>
        </w:rPr>
      </w:pPr>
    </w:p>
    <w:p w14:paraId="3D40A371">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Tretman </w:t>
      </w:r>
    </w:p>
    <w:p w14:paraId="73CB029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 predoziranju, terapiju bisoprololom treba odmah prekinuti i obezbijediti suportivno i simptomatsko liječenje.</w:t>
      </w:r>
    </w:p>
    <w:p w14:paraId="4E2F1AD8">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Ograničeni podaci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pokazuju 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teško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odstranjuje dijalizom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očekivanih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farmakoloških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djelovanja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preporuke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 druge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beta-</w:t>
      </w:r>
      <w:r>
        <w:rPr>
          <w:rFonts w:ascii="Microsoft Sans Serif" w:hAnsi="Microsoft Sans Serif" w:cs="Microsoft Sans Serif"/>
          <w:sz w:val="20"/>
          <w:lang w:val="bs-Latn-BA"/>
        </w:rPr>
        <w:t xml:space="preserve">blokatore, sljedeće opšte </w:t>
      </w:r>
      <w:r>
        <w:rPr>
          <w:rStyle w:val="31"/>
          <w:rFonts w:ascii="Microsoft Sans Serif" w:hAnsi="Microsoft Sans Serif" w:cs="Microsoft Sans Serif"/>
          <w:sz w:val="20"/>
          <w:lang w:val="bs-Latn-BA"/>
        </w:rPr>
        <w:t>mjere treba razmotriti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je </w:t>
      </w:r>
      <w:r>
        <w:rPr>
          <w:rStyle w:val="31"/>
          <w:rFonts w:ascii="Microsoft Sans Serif" w:hAnsi="Microsoft Sans Serif" w:cs="Microsoft Sans Serif"/>
          <w:sz w:val="20"/>
          <w:lang w:val="bs-Latn-BA"/>
        </w:rPr>
        <w:t>klinički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opravdano</w:t>
      </w:r>
      <w:r>
        <w:rPr>
          <w:rFonts w:ascii="Microsoft Sans Serif" w:hAnsi="Microsoft Sans Serif" w:cs="Microsoft Sans Serif"/>
          <w:sz w:val="20"/>
          <w:lang w:val="bs-Latn-BA"/>
        </w:rPr>
        <w:t>.</w:t>
      </w:r>
    </w:p>
    <w:p w14:paraId="0025AF1B">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Bradikardija: intravenska administracija atropina ili u slučaju neadekvatnog odgovora može se </w:t>
      </w:r>
      <w:r>
        <w:rPr>
          <w:rFonts w:ascii="Microsoft Sans Serif" w:hAnsi="Microsoft Sans Serif" w:cs="Microsoft Sans Serif"/>
          <w:sz w:val="20"/>
          <w:lang w:val="bs-Latn-BA"/>
        </w:rPr>
        <w:t xml:space="preserve">pažljivo </w:t>
      </w:r>
      <w:r>
        <w:rPr>
          <w:rFonts w:ascii="Microsoft Sans Serif" w:hAnsi="Microsoft Sans Serif" w:cs="Microsoft Sans Serif"/>
          <w:sz w:val="20"/>
          <w:lang w:val="bs-Latn-BA" w:eastAsia="en-GB"/>
        </w:rPr>
        <w:t xml:space="preserve">dati </w:t>
      </w:r>
      <w:r>
        <w:rPr>
          <w:rFonts w:ascii="Microsoft Sans Serif" w:hAnsi="Microsoft Sans Serif" w:cs="Microsoft Sans Serif"/>
          <w:sz w:val="20"/>
          <w:lang w:val="bs-Latn-BA"/>
        </w:rPr>
        <w:t>izo</w:t>
      </w:r>
      <w:r>
        <w:rPr>
          <w:rFonts w:ascii="Microsoft Sans Serif" w:hAnsi="Microsoft Sans Serif" w:cs="Microsoft Sans Serif"/>
          <w:sz w:val="20"/>
          <w:lang w:val="bs-Latn-BA" w:eastAsia="en-GB"/>
        </w:rPr>
        <w:t>prenalin ili neki drugi lijek sa pozitivnim hronotropnim dejstvom.</w:t>
      </w:r>
      <w:r>
        <w:rPr>
          <w:rStyle w:val="23"/>
          <w:rFonts w:ascii="Microsoft Sans Serif" w:hAnsi="Microsoft Sans Serif" w:cs="Microsoft Sans Serif"/>
          <w:lang w:val="bs-Latn-BA"/>
        </w:rPr>
        <w:t xml:space="preserve"> </w:t>
      </w:r>
      <w:r>
        <w:rPr>
          <w:rStyle w:val="31"/>
          <w:rFonts w:ascii="Microsoft Sans Serif" w:hAnsi="Microsoft Sans Serif" w:cs="Microsoft Sans Serif"/>
          <w:sz w:val="20"/>
          <w:lang w:val="bs-Latn-BA"/>
        </w:rPr>
        <w:t>Pod</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određenim okolnostima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može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biti potrebno </w:t>
      </w:r>
      <w:r>
        <w:rPr>
          <w:rFonts w:ascii="Microsoft Sans Serif" w:hAnsi="Microsoft Sans Serif" w:cs="Microsoft Sans Serif"/>
          <w:sz w:val="20"/>
          <w:lang w:val="bs-Latn-BA" w:eastAsia="en-GB"/>
        </w:rPr>
        <w:t xml:space="preserve">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40BB6218">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Hipotenzija: intravenska nadoknada tečnosti</w:t>
      </w:r>
      <w:r>
        <w:rPr>
          <w:rFonts w:ascii="Microsoft Sans Serif" w:hAnsi="Microsoft Sans Serif" w:cs="Microsoft Sans Serif"/>
          <w:sz w:val="20"/>
          <w:lang w:val="bs-Latn-BA"/>
        </w:rPr>
        <w:t xml:space="preserve"> i</w:t>
      </w:r>
      <w:r>
        <w:rPr>
          <w:rFonts w:ascii="Microsoft Sans Serif" w:hAnsi="Microsoft Sans Serif" w:cs="Microsoft Sans Serif"/>
          <w:sz w:val="20"/>
          <w:lang w:val="bs-Latn-BA" w:eastAsia="en-GB"/>
        </w:rPr>
        <w:t xml:space="preserve"> vazopresori. Intravensk</w:t>
      </w:r>
      <w:r>
        <w:rPr>
          <w:rFonts w:ascii="Microsoft Sans Serif" w:hAnsi="Microsoft Sans Serif" w:cs="Microsoft Sans Serif"/>
          <w:sz w:val="20"/>
          <w:lang w:val="bs-Latn-BA"/>
        </w:rPr>
        <w:t>a primjena</w:t>
      </w:r>
      <w:r>
        <w:rPr>
          <w:rFonts w:ascii="Microsoft Sans Serif" w:hAnsi="Microsoft Sans Serif" w:cs="Microsoft Sans Serif"/>
          <w:sz w:val="20"/>
          <w:lang w:val="bs-Latn-BA" w:eastAsia="en-GB"/>
        </w:rPr>
        <w:t xml:space="preserve"> glukagon</w:t>
      </w:r>
      <w:r>
        <w:rPr>
          <w:rFonts w:ascii="Microsoft Sans Serif" w:hAnsi="Microsoft Sans Serif" w:cs="Microsoft Sans Serif"/>
          <w:sz w:val="20"/>
          <w:lang w:val="bs-Latn-BA"/>
        </w:rPr>
        <w:t>a može biti korisna.</w:t>
      </w:r>
    </w:p>
    <w:p w14:paraId="6FAF10E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AV-blok (dr</w:t>
      </w:r>
      <w:r>
        <w:rPr>
          <w:rFonts w:ascii="Microsoft Sans Serif" w:hAnsi="Microsoft Sans Serif" w:cs="Microsoft Sans Serif"/>
          <w:sz w:val="20"/>
          <w:lang w:val="bs-Latn-BA"/>
        </w:rPr>
        <w:t>u</w:t>
      </w:r>
      <w:r>
        <w:rPr>
          <w:rFonts w:ascii="Microsoft Sans Serif" w:hAnsi="Microsoft Sans Serif" w:cs="Microsoft Sans Serif"/>
          <w:sz w:val="20"/>
          <w:lang w:val="bs-Latn-BA" w:eastAsia="en-GB"/>
        </w:rPr>
        <w:t xml:space="preserve">gog ili trećeg stepena): pacijent se mora pažljivo pratiti i liječiti infuzijom izoprenalina ili 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2A28628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Akutno pogoršanje</w:t>
      </w:r>
      <w:r>
        <w:rPr>
          <w:rFonts w:ascii="Microsoft Sans Serif" w:hAnsi="Microsoft Sans Serif" w:cs="Microsoft Sans Serif"/>
          <w:sz w:val="20"/>
          <w:lang w:val="bs-Latn-BA" w:eastAsia="en-GB"/>
        </w:rPr>
        <w:t xml:space="preserve"> srčan</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xml:space="preserve"> insuficijencij</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intravenska terapija diureticima, inotropnim lijekovima, vazodilatatorima.</w:t>
      </w:r>
    </w:p>
    <w:p w14:paraId="6A57E0F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Bronhospazam: bronhodilatatorna terapija kao </w:t>
      </w:r>
      <w:r>
        <w:rPr>
          <w:rFonts w:ascii="Microsoft Sans Serif" w:hAnsi="Microsoft Sans Serif" w:cs="Microsoft Sans Serif"/>
          <w:sz w:val="20"/>
          <w:lang w:val="bs-Latn-BA"/>
        </w:rPr>
        <w:t>izoprenalin, beta-2 simpatomimetik i/ili aminofilin.</w:t>
      </w:r>
    </w:p>
    <w:p w14:paraId="485EC92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Hipoglikemija: intravenski glukoza.</w:t>
      </w:r>
    </w:p>
    <w:p w14:paraId="77580AC6">
      <w:pPr>
        <w:jc w:val="both"/>
        <w:rPr>
          <w:rFonts w:ascii="Microsoft Sans Serif" w:hAnsi="Microsoft Sans Serif" w:cs="Microsoft Sans Serif"/>
          <w:sz w:val="20"/>
          <w:lang w:val="bs-Latn-BA"/>
        </w:rPr>
      </w:pPr>
    </w:p>
    <w:p w14:paraId="07A248D1">
      <w:pPr>
        <w:jc w:val="both"/>
        <w:rPr>
          <w:rFonts w:ascii="Microsoft Sans Serif" w:hAnsi="Microsoft Sans Serif" w:cs="Microsoft Sans Serif"/>
          <w:sz w:val="20"/>
          <w:lang w:val="bs-Latn-BA"/>
        </w:rPr>
      </w:pPr>
    </w:p>
    <w:p w14:paraId="77D0293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07C9A156">
      <w:pPr>
        <w:jc w:val="both"/>
        <w:rPr>
          <w:rFonts w:ascii="Microsoft Sans Serif" w:hAnsi="Microsoft Sans Serif" w:cs="Microsoft Sans Serif"/>
          <w:b/>
          <w:sz w:val="20"/>
          <w:lang w:val="bs-Latn-BA"/>
        </w:rPr>
      </w:pPr>
    </w:p>
    <w:p w14:paraId="5D3F140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57EFCAFF">
      <w:pPr>
        <w:jc w:val="both"/>
        <w:rPr>
          <w:rFonts w:ascii="Microsoft Sans Serif" w:hAnsi="Microsoft Sans Serif" w:cs="Microsoft Sans Serif"/>
          <w:sz w:val="20"/>
          <w:lang w:val="bs-Latn-BA"/>
        </w:rPr>
      </w:pPr>
    </w:p>
    <w:p w14:paraId="254B87E8">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beta-blokatori; selektivni beta-blokatori</w:t>
      </w:r>
    </w:p>
    <w:p w14:paraId="5DA99F01">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C07AB07</w:t>
      </w:r>
    </w:p>
    <w:p w14:paraId="4F45CD64">
      <w:pPr>
        <w:jc w:val="both"/>
        <w:rPr>
          <w:rFonts w:ascii="Microsoft Sans Serif" w:hAnsi="Microsoft Sans Serif" w:cs="Microsoft Sans Serif"/>
          <w:sz w:val="20"/>
          <w:lang w:val="bs-Latn-BA"/>
        </w:rPr>
      </w:pPr>
    </w:p>
    <w:p w14:paraId="43E561F9">
      <w:pPr>
        <w:jc w:val="both"/>
        <w:textAlignment w:val="top"/>
        <w:rPr>
          <w:rFonts w:ascii="Microsoft Sans Serif" w:hAnsi="Microsoft Sans Serif" w:cs="Microsoft Sans Serif"/>
          <w:sz w:val="20"/>
          <w:u w:val="single"/>
          <w:lang w:val="en-GB"/>
        </w:rPr>
      </w:pPr>
      <w:r>
        <w:rPr>
          <w:rFonts w:ascii="Microsoft Sans Serif" w:hAnsi="Microsoft Sans Serif" w:cs="Microsoft Sans Serif"/>
          <w:sz w:val="20"/>
          <w:u w:val="single"/>
          <w:lang w:val="en-GB"/>
        </w:rPr>
        <w:t xml:space="preserve">Mehanizam djelovanja </w:t>
      </w:r>
    </w:p>
    <w:p w14:paraId="51EC75D5">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Bisoprolol je potentni kardioselektivni adrenoreceptorni β</w:t>
      </w:r>
      <w:r>
        <w:rPr>
          <w:rFonts w:ascii="Microsoft Sans Serif" w:hAnsi="Microsoft Sans Serif" w:cs="Microsoft Sans Serif"/>
          <w:sz w:val="20"/>
          <w:vertAlign w:val="subscript"/>
          <w:lang w:val="bs-Latn-BA"/>
        </w:rPr>
        <w:t>1</w:t>
      </w:r>
      <w:r>
        <w:rPr>
          <w:rFonts w:ascii="Microsoft Sans Serif" w:hAnsi="Microsoft Sans Serif" w:cs="Microsoft Sans Serif"/>
          <w:sz w:val="20"/>
          <w:lang w:val="bs-Latn-BA"/>
        </w:rPr>
        <w:t xml:space="preserve">-blokator koji ne ispoljava intrinzičnu stimulirajuću aktivnost niti utiče na stabilizaciju ćelijske membrane. </w:t>
      </w:r>
      <w:r>
        <w:rPr>
          <w:rStyle w:val="31"/>
          <w:rFonts w:ascii="Microsoft Sans Serif" w:hAnsi="Microsoft Sans Serif" w:cs="Microsoft Sans Serif"/>
          <w:sz w:val="20"/>
          <w:lang w:val="bs-Latn-BA"/>
        </w:rPr>
        <w:t>To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samo pokazuje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nizak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afinitet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receptorima </w:t>
      </w:r>
      <w:r>
        <w:rPr>
          <w:rStyle w:val="31"/>
          <w:rFonts w:ascii="Microsoft Sans Serif" w:hAnsi="Microsoft Sans Serif" w:cs="Microsoft Sans Serif"/>
          <w:sz w:val="20"/>
          <w:lang w:val="bs-Latn-BA"/>
        </w:rPr>
        <w:t>glatkih mišića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bronhija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sudova</w:t>
      </w:r>
      <w:r>
        <w:rPr>
          <w:rFonts w:ascii="Microsoft Sans Serif" w:hAnsi="Microsoft Sans Serif" w:cs="Microsoft Sans Serif"/>
          <w:sz w:val="20"/>
          <w:lang w:val="bs-Latn-BA"/>
        </w:rPr>
        <w:t xml:space="preserve">, kao i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receptore </w:t>
      </w:r>
      <w:r>
        <w:rPr>
          <w:rStyle w:val="31"/>
          <w:rFonts w:ascii="Microsoft Sans Serif" w:hAnsi="Microsoft Sans Serif" w:cs="Microsoft Sans Serif"/>
          <w:sz w:val="20"/>
          <w:lang w:val="bs-Latn-BA"/>
        </w:rPr>
        <w:t>povezane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metaboličkom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regulacijom</w:t>
      </w:r>
      <w:r>
        <w:rPr>
          <w:rFonts w:ascii="Microsoft Sans Serif" w:hAnsi="Microsoft Sans Serif" w:cs="Microsoft Sans Serif"/>
          <w:sz w:val="20"/>
          <w:lang w:val="bs-Latn-BA"/>
        </w:rPr>
        <w:t xml:space="preserve">. Stoga, ne očekuje se da bisoprolol izazove bronhokonstrikcije niti beta-2 posredovane metaboličke promjene u organizmu pacijenta. </w:t>
      </w:r>
      <w:r>
        <w:rPr>
          <w:rStyle w:val="31"/>
          <w:rFonts w:ascii="Microsoft Sans Serif" w:hAnsi="Microsoft Sans Serif" w:cs="Microsoft Sans Serif"/>
          <w:sz w:val="20"/>
          <w:lang w:val="bs-Latn-BA"/>
        </w:rPr>
        <w:t>Njegova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beta-1 </w:t>
      </w:r>
      <w:r>
        <w:rPr>
          <w:rFonts w:ascii="Microsoft Sans Serif" w:hAnsi="Microsoft Sans Serif" w:cs="Microsoft Sans Serif"/>
          <w:sz w:val="20"/>
          <w:lang w:val="bs-Latn-BA"/>
        </w:rPr>
        <w:t xml:space="preserve">selektivnost </w:t>
      </w:r>
      <w:r>
        <w:rPr>
          <w:rStyle w:val="31"/>
          <w:rFonts w:ascii="Microsoft Sans Serif" w:hAnsi="Microsoft Sans Serif" w:cs="Microsoft Sans Serif"/>
          <w:sz w:val="20"/>
          <w:lang w:val="bs-Latn-BA"/>
        </w:rPr>
        <w:t>proteže se izvan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terapijskog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raspona doza</w:t>
      </w:r>
      <w:r>
        <w:rPr>
          <w:rFonts w:ascii="Microsoft Sans Serif" w:hAnsi="Microsoft Sans Serif" w:cs="Microsoft Sans Serif"/>
          <w:sz w:val="20"/>
          <w:lang w:val="bs-Latn-BA"/>
        </w:rPr>
        <w:t>.</w:t>
      </w:r>
    </w:p>
    <w:p w14:paraId="77714730">
      <w:pPr>
        <w:jc w:val="both"/>
        <w:rPr>
          <w:rFonts w:ascii="Microsoft Sans Serif" w:hAnsi="Microsoft Sans Serif" w:cs="Microsoft Sans Serif"/>
          <w:sz w:val="20"/>
          <w:lang w:val="bs-Latn-BA"/>
        </w:rPr>
      </w:pPr>
    </w:p>
    <w:p w14:paraId="4FC50255">
      <w:pPr>
        <w:autoSpaceDE w:val="0"/>
        <w:autoSpaceDN w:val="0"/>
        <w:adjustRightInd w:val="0"/>
        <w:jc w:val="both"/>
        <w:rPr>
          <w:rFonts w:ascii="Microsoft Sans Serif" w:hAnsi="Microsoft Sans Serif" w:eastAsia="TimesNewRoman" w:cs="Microsoft Sans Serif"/>
          <w:sz w:val="20"/>
          <w:lang w:val="bs-Latn-BA"/>
        </w:rPr>
      </w:pPr>
      <w:r>
        <w:rPr>
          <w:rFonts w:ascii="Microsoft Sans Serif" w:hAnsi="Microsoft Sans Serif" w:eastAsia="TimesNewRoman" w:cs="Microsoft Sans Serif"/>
          <w:sz w:val="20"/>
          <w:lang w:val="bs-Latn-BA"/>
        </w:rPr>
        <w:t xml:space="preserve">Bisoprolol se koristi u terapiji hipertenzije, angine pektoris i </w:t>
      </w:r>
      <w:r>
        <w:rPr>
          <w:rFonts w:ascii="Microsoft Sans Serif" w:hAnsi="Microsoft Sans Serif" w:cs="Microsoft Sans Serif"/>
          <w:sz w:val="20"/>
          <w:lang w:val="bs-Latn-BA" w:eastAsia="en-GB"/>
        </w:rPr>
        <w:t>srčane slabosti</w:t>
      </w:r>
      <w:r>
        <w:rPr>
          <w:rFonts w:ascii="Microsoft Sans Serif" w:hAnsi="Microsoft Sans Serif" w:eastAsia="TimesNewRoman" w:cs="Microsoft Sans Serif"/>
          <w:sz w:val="20"/>
          <w:lang w:val="bs-Latn-BA"/>
        </w:rPr>
        <w:t>.</w:t>
      </w:r>
    </w:p>
    <w:p w14:paraId="3B843E8A">
      <w:pPr>
        <w:autoSpaceDE w:val="0"/>
        <w:autoSpaceDN w:val="0"/>
        <w:adjustRightInd w:val="0"/>
        <w:jc w:val="both"/>
        <w:rPr>
          <w:rFonts w:ascii="Microsoft Sans Serif" w:hAnsi="Microsoft Sans Serif" w:eastAsia="TimesNewRoman" w:cs="Microsoft Sans Serif"/>
          <w:sz w:val="20"/>
          <w:lang w:val="bs-Latn-BA"/>
        </w:rPr>
      </w:pPr>
    </w:p>
    <w:p w14:paraId="53F7677F">
      <w:pPr>
        <w:jc w:val="both"/>
        <w:rPr>
          <w:rFonts w:ascii="Microsoft Sans Serif" w:hAnsi="Microsoft Sans Serif" w:eastAsia="TimesNewRoman" w:cs="Microsoft Sans Serif"/>
          <w:sz w:val="20"/>
          <w:u w:val="single"/>
          <w:lang w:val="bs-Latn-BA"/>
        </w:rPr>
      </w:pPr>
      <w:r>
        <w:rPr>
          <w:rFonts w:ascii="Microsoft Sans Serif" w:hAnsi="Microsoft Sans Serif" w:eastAsia="TimesNewRoman" w:cs="Microsoft Sans Serif"/>
          <w:sz w:val="20"/>
          <w:u w:val="single"/>
          <w:lang w:val="bs-Latn-BA"/>
        </w:rPr>
        <w:t>Klinička efikasnost i bezbjednost</w:t>
      </w:r>
    </w:p>
    <w:p w14:paraId="1E80841B">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Ukupno 2.647</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bilo je uključeno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 studiji</w:t>
      </w:r>
      <w:r>
        <w:rPr>
          <w:rFonts w:ascii="Microsoft Sans Serif" w:hAnsi="Microsoft Sans Serif" w:cs="Microsoft Sans Serif"/>
          <w:sz w:val="20"/>
          <w:lang w:val="bs-Latn-BA"/>
        </w:rPr>
        <w:t xml:space="preserve">. U procentima, </w:t>
      </w:r>
      <w:r>
        <w:rPr>
          <w:rStyle w:val="31"/>
          <w:rFonts w:ascii="Microsoft Sans Serif" w:hAnsi="Microsoft Sans Serif" w:cs="Microsoft Sans Serif"/>
          <w:sz w:val="20"/>
          <w:lang w:val="bs-Latn-BA"/>
        </w:rPr>
        <w:t>83%</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2202</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17</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IV</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Oni su imali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stabilnu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simptomatsku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sistoličku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srčanu slabost</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ejekciona </w:t>
      </w:r>
      <w:r>
        <w:rPr>
          <w:rStyle w:val="31"/>
          <w:rFonts w:ascii="Microsoft Sans Serif" w:hAnsi="Microsoft Sans Serif" w:cs="Microsoft Sans Serif"/>
          <w:sz w:val="20"/>
          <w:lang w:val="bs-Latn-BA"/>
        </w:rPr>
        <w:t>frakcija</w:t>
      </w:r>
      <w:r>
        <w:rPr>
          <w:rFonts w:ascii="Microsoft Sans Serif" w:hAnsi="Microsoft Sans Serif" w:cs="Microsoft Sans Serif"/>
          <w:sz w:val="20"/>
          <w:lang w:val="bs-Latn-BA"/>
        </w:rPr>
        <w:t xml:space="preserve"> ≤ </w:t>
      </w:r>
      <w:r>
        <w:rPr>
          <w:rStyle w:val="31"/>
          <w:rFonts w:ascii="Microsoft Sans Serif" w:hAnsi="Microsoft Sans Serif" w:cs="Microsoft Sans Serif"/>
          <w:sz w:val="20"/>
          <w:lang w:val="bs-Latn-BA"/>
        </w:rPr>
        <w:t>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 ehokardiografije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smanjena je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17,3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11,8</w:t>
      </w:r>
      <w:r>
        <w:rPr>
          <w:rStyle w:val="32"/>
          <w:rFonts w:ascii="Microsoft Sans Serif" w:hAnsi="Microsoft Sans Serif" w:cs="Microsoft Sans Serif"/>
          <w:sz w:val="20"/>
          <w:lang w:val="bs-Latn-BA"/>
        </w:rPr>
        <w:t>% (</w:t>
      </w:r>
      <w:r>
        <w:rPr>
          <w:rFonts w:ascii="Microsoft Sans Serif" w:hAnsi="Microsoft Sans Serif" w:cs="Microsoft Sans Serif"/>
          <w:sz w:val="20"/>
          <w:lang w:val="bs-Latn-BA"/>
        </w:rPr>
        <w:t xml:space="preserve">relativno smanjenje </w:t>
      </w:r>
      <w:r>
        <w:rPr>
          <w:rStyle w:val="31"/>
          <w:rFonts w:ascii="Microsoft Sans Serif" w:hAnsi="Microsoft Sans Serif" w:cs="Microsoft Sans Serif"/>
          <w:sz w:val="20"/>
          <w:lang w:val="bs-Latn-BA"/>
        </w:rPr>
        <w:t>34%</w:t>
      </w:r>
      <w:r>
        <w:rPr>
          <w:rFonts w:ascii="Microsoft Sans Serif" w:hAnsi="Microsoft Sans Serif" w:cs="Microsoft Sans Serif"/>
          <w:sz w:val="20"/>
          <w:lang w:val="bs-Latn-BA"/>
        </w:rPr>
        <w:t xml:space="preserve">). Smanjenje </w:t>
      </w:r>
      <w:r>
        <w:rPr>
          <w:rStyle w:val="31"/>
          <w:rFonts w:ascii="Microsoft Sans Serif" w:hAnsi="Microsoft Sans Serif" w:cs="Microsoft Sans Serif"/>
          <w:sz w:val="20"/>
          <w:lang w:val="bs-Latn-BA"/>
        </w:rPr>
        <w:t>iznenadne smrti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3,6%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 je smanjen 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epizoda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koje zahtijevaju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bolničko liječenje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(12</w:t>
      </w:r>
      <w:r>
        <w:rPr>
          <w:rFonts w:ascii="Microsoft Sans Serif" w:hAnsi="Microsoft Sans Serif" w:cs="Microsoft Sans Serif"/>
          <w:sz w:val="20"/>
          <w:lang w:val="bs-Latn-BA"/>
        </w:rPr>
        <w:t xml:space="preserve">% prema </w:t>
      </w:r>
      <w:r>
        <w:rPr>
          <w:rStyle w:val="31"/>
          <w:rFonts w:ascii="Microsoft Sans Serif" w:hAnsi="Microsoft Sans Serif" w:cs="Microsoft Sans Serif"/>
          <w:sz w:val="20"/>
          <w:lang w:val="bs-Latn-BA"/>
        </w:rPr>
        <w:t>17,6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36%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Konačno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pokazalo se značajno poboljšanje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funkcionalnog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statusa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klasifikaciji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terapije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tokom </w:t>
      </w:r>
      <w:r>
        <w:rPr>
          <w:rStyle w:val="31"/>
          <w:rFonts w:ascii="Microsoft Sans Serif" w:hAnsi="Microsoft Sans Serif" w:cs="Microsoft Sans Serif"/>
          <w:sz w:val="20"/>
          <w:lang w:val="bs-Latn-BA"/>
        </w:rPr>
        <w:t>titracije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zabilježeni su slučajevi 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bradikardije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0,53%), hipotenzije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0,23%)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dekompenzacije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4,97%), </w:t>
      </w:r>
      <w:r>
        <w:rPr>
          <w:rStyle w:val="31"/>
          <w:rFonts w:ascii="Microsoft Sans Serif" w:hAnsi="Microsoft Sans Serif" w:cs="Microsoft Sans Serif"/>
          <w:sz w:val="20"/>
          <w:lang w:val="bs-Latn-BA"/>
        </w:rPr>
        <w:t>ali oni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češći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nego u placebo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grupi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 odnosno 0,3%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6,74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fatalnih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težih udara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toku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posmatranog perioda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20 u</w:t>
      </w:r>
      <w:r>
        <w:rPr>
          <w:rFonts w:ascii="Microsoft Sans Serif" w:hAnsi="Microsoft Sans Serif" w:cs="Microsoft Sans Serif"/>
          <w:sz w:val="20"/>
          <w:lang w:val="bs-Latn-BA"/>
        </w:rPr>
        <w:t xml:space="preserve"> grupi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placebo grupi</w:t>
      </w:r>
      <w:r>
        <w:rPr>
          <w:rFonts w:ascii="Microsoft Sans Serif" w:hAnsi="Microsoft Sans Serif" w:cs="Microsoft Sans Serif"/>
          <w:sz w:val="20"/>
          <w:lang w:val="bs-Latn-BA"/>
        </w:rPr>
        <w:t>.</w:t>
      </w:r>
    </w:p>
    <w:p w14:paraId="4358CCD6">
      <w:pPr>
        <w:autoSpaceDE w:val="0"/>
        <w:autoSpaceDN w:val="0"/>
        <w:adjustRightInd w:val="0"/>
        <w:jc w:val="both"/>
        <w:rPr>
          <w:rFonts w:ascii="Microsoft Sans Serif" w:hAnsi="Microsoft Sans Serif" w:cs="Microsoft Sans Serif"/>
          <w:sz w:val="20"/>
        </w:rPr>
      </w:pPr>
    </w:p>
    <w:p w14:paraId="40B6FD17">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studiji </w:t>
      </w:r>
      <w:r>
        <w:rPr>
          <w:rStyle w:val="31"/>
          <w:rFonts w:ascii="Microsoft Sans Serif" w:hAnsi="Microsoft Sans Serif" w:cs="Microsoft Sans Serif"/>
          <w:sz w:val="20"/>
          <w:lang w:val="bs-Latn-BA"/>
        </w:rPr>
        <w:t>ispitivano 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1.010</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dobi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65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godina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 klasa 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lijevo ventrikularnom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ejekcionom frakcijom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tretirani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prethodno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ACE-inhibitorima</w:t>
      </w:r>
      <w:r>
        <w:rPr>
          <w:rStyle w:val="32"/>
          <w:rFonts w:ascii="Microsoft Sans Serif" w:hAnsi="Microsoft Sans Serif" w:cs="Microsoft Sans Serif"/>
          <w:sz w:val="20"/>
          <w:lang w:val="bs-Latn-BA"/>
        </w:rPr>
        <w:t>, beta-</w:t>
      </w:r>
      <w:r>
        <w:rPr>
          <w:rFonts w:ascii="Microsoft Sans Serif" w:hAnsi="Microsoft Sans Serif" w:cs="Microsoft Sans Serif"/>
          <w:sz w:val="20"/>
          <w:lang w:val="bs-Latn-BA"/>
        </w:rPr>
        <w:t xml:space="preserve">blokatorima </w:t>
      </w:r>
      <w:r>
        <w:rPr>
          <w:rStyle w:val="31"/>
          <w:rFonts w:ascii="Microsoft Sans Serif" w:hAnsi="Microsoft Sans Serif" w:cs="Microsoft Sans Serif"/>
          <w:sz w:val="20"/>
          <w:lang w:val="bs-Latn-BA"/>
        </w:rPr>
        <w:t>ili blokatorima angiotenzinskih receptora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Pacijenti su</w:t>
      </w:r>
      <w:r>
        <w:rPr>
          <w:rFonts w:ascii="Microsoft Sans Serif" w:hAnsi="Microsoft Sans Serif" w:cs="Microsoft Sans Serif"/>
          <w:sz w:val="20"/>
          <w:lang w:val="bs-Latn-BA"/>
        </w:rPr>
        <w:t xml:space="preserve"> bili </w:t>
      </w:r>
      <w:r>
        <w:rPr>
          <w:rStyle w:val="31"/>
          <w:rFonts w:ascii="Microsoft Sans Serif" w:hAnsi="Microsoft Sans Serif" w:cs="Microsoft Sans Serif"/>
          <w:sz w:val="20"/>
          <w:lang w:val="bs-Latn-BA"/>
        </w:rPr>
        <w:t>liječeni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 mjeseci do 24 mjeseca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nakon početnog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enalaprilom</w:t>
      </w:r>
      <w:r>
        <w:rPr>
          <w:rFonts w:ascii="Microsoft Sans Serif" w:hAnsi="Microsoft Sans Serif" w:cs="Microsoft Sans Serif"/>
          <w:sz w:val="20"/>
          <w:lang w:val="bs-Latn-BA"/>
        </w:rPr>
        <w:t>.</w:t>
      </w:r>
    </w:p>
    <w:p w14:paraId="471842E8">
      <w:pPr>
        <w:jc w:val="both"/>
        <w:rPr>
          <w:rFonts w:ascii="Microsoft Sans Serif" w:hAnsi="Microsoft Sans Serif" w:cs="Microsoft Sans Serif"/>
          <w:sz w:val="20"/>
          <w:lang w:val="bs-Latn-BA"/>
        </w:rPr>
      </w:pPr>
    </w:p>
    <w:p w14:paraId="08CB992C">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Postojao je trend 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višoj frekvenciji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pogoršanja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primjenjivao kao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tretman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Neinferiornost grupe koja je liječena najprije bisoprololom naspram grupi liječenoj najprije enalaprilom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nije dokazana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analizi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w:t>
      </w:r>
      <w:r>
        <w:rPr>
          <w:rStyle w:val="32"/>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protokolu, </w:t>
      </w:r>
      <w:r>
        <w:rPr>
          <w:rStyle w:val="31"/>
          <w:rFonts w:ascii="Microsoft Sans Serif" w:hAnsi="Microsoft Sans Serif" w:cs="Microsoft Sans Serif"/>
          <w:sz w:val="20"/>
          <w:lang w:val="bs-Latn-BA"/>
        </w:rPr>
        <w:t>iako su</w:t>
      </w:r>
      <w:r>
        <w:rPr>
          <w:rFonts w:ascii="Microsoft Sans Serif" w:hAnsi="Microsoft Sans Serif" w:cs="Microsoft Sans Serif"/>
          <w:sz w:val="20"/>
          <w:lang w:val="bs-Latn-BA"/>
        </w:rPr>
        <w:t xml:space="preserve"> te </w:t>
      </w:r>
      <w:r>
        <w:rPr>
          <w:rStyle w:val="31"/>
          <w:rFonts w:ascii="Microsoft Sans Serif" w:hAnsi="Microsoft Sans Serif" w:cs="Microsoft Sans Serif"/>
          <w:sz w:val="20"/>
          <w:lang w:val="bs-Latn-BA"/>
        </w:rPr>
        <w:t>dvije strategije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sličnu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stopu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primarnog ishoda,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smrti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kraju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ispitivanja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32,4%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bisoprolol</w:t>
      </w:r>
      <w:r>
        <w:rPr>
          <w:rStyle w:val="32"/>
          <w:rFonts w:ascii="Microsoft Sans Serif" w:hAnsi="Microsoft Sans Serif" w:cs="Microsoft Sans Serif"/>
          <w:sz w:val="20"/>
          <w:lang w:val="bs-Latn-BA"/>
        </w:rPr>
        <w:t xml:space="preserve">om </w:t>
      </w:r>
      <w:r>
        <w:rPr>
          <w:rFonts w:ascii="Microsoft Sans Serif" w:hAnsi="Microsoft Sans Serif" w:cs="Microsoft Sans Serif"/>
          <w:sz w:val="20"/>
          <w:lang w:val="bs-Latn-BA"/>
        </w:rPr>
        <w:t xml:space="preserve">naspram </w:t>
      </w:r>
      <w:r>
        <w:rPr>
          <w:rStyle w:val="31"/>
          <w:rFonts w:ascii="Microsoft Sans Serif" w:hAnsi="Microsoft Sans Serif" w:cs="Microsoft Sans Serif"/>
          <w:sz w:val="20"/>
          <w:lang w:val="bs-Latn-BA"/>
        </w:rPr>
        <w:t>33,1</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enalapril</w:t>
      </w:r>
      <w:r>
        <w:rPr>
          <w:rStyle w:val="32"/>
          <w:rFonts w:ascii="Microsoft Sans Serif" w:hAnsi="Microsoft Sans Serif" w:cs="Microsoft Sans Serif"/>
          <w:sz w:val="20"/>
          <w:lang w:val="bs-Latn-BA"/>
        </w:rPr>
        <w:t>om</w:t>
      </w:r>
      <w:r>
        <w:rPr>
          <w:rFonts w:ascii="Microsoft Sans Serif" w:hAnsi="Microsoft Sans Serif" w:cs="Microsoft Sans Serif"/>
          <w:sz w:val="20"/>
          <w:lang w:val="bs-Latn-BA"/>
        </w:rPr>
        <w:t xml:space="preserve">, populacija koja je predmet analize </w:t>
      </w:r>
      <w:r>
        <w:rPr>
          <w:rStyle w:val="31"/>
          <w:rFonts w:ascii="Microsoft Sans Serif" w:hAnsi="Microsoft Sans Serif" w:cs="Microsoft Sans Serif"/>
          <w:sz w:val="20"/>
          <w:lang w:val="bs-Latn-BA"/>
        </w:rPr>
        <w:t>po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protokolu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 xml:space="preserve">Studija pokazuje da </w:t>
      </w:r>
      <w:r>
        <w:rPr>
          <w:rStyle w:val="31"/>
          <w:rFonts w:ascii="Microsoft Sans Serif" w:hAnsi="Microsoft Sans Serif" w:cs="Microsoft Sans Serif"/>
          <w:sz w:val="20"/>
          <w:lang w:val="bs-Latn-BA"/>
        </w:rPr>
        <w:t>se 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takođe može koristiti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kod starijih</w:t>
      </w:r>
      <w:r>
        <w:rPr>
          <w:rFonts w:ascii="Microsoft Sans Serif" w:hAnsi="Microsoft Sans Serif" w:cs="Microsoft Sans Serif"/>
          <w:sz w:val="20"/>
          <w:lang w:val="bs-Latn-BA"/>
        </w:rPr>
        <w:t xml:space="preserve"> pacijenata sa h</w:t>
      </w:r>
      <w:r>
        <w:rPr>
          <w:rStyle w:val="31"/>
          <w:rFonts w:ascii="Microsoft Sans Serif" w:hAnsi="Microsoft Sans Serif" w:cs="Microsoft Sans Serif"/>
          <w:sz w:val="20"/>
          <w:lang w:val="bs-Latn-BA"/>
        </w:rPr>
        <w:t>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bolešću</w:t>
      </w:r>
      <w:r>
        <w:rPr>
          <w:rFonts w:ascii="Microsoft Sans Serif" w:hAnsi="Microsoft Sans Serif" w:cs="Microsoft Sans Serif"/>
          <w:sz w:val="20"/>
          <w:lang w:val="bs-Latn-BA"/>
        </w:rPr>
        <w:t>.</w:t>
      </w:r>
    </w:p>
    <w:p w14:paraId="05BFED20">
      <w:pPr>
        <w:jc w:val="both"/>
        <w:rPr>
          <w:rFonts w:ascii="Microsoft Sans Serif" w:hAnsi="Microsoft Sans Serif" w:cs="Microsoft Sans Serif"/>
          <w:sz w:val="20"/>
          <w:lang w:val="hr-HR"/>
        </w:rPr>
      </w:pPr>
    </w:p>
    <w:p w14:paraId="2EF8AAAF">
      <w:pPr>
        <w:jc w:val="both"/>
        <w:rPr>
          <w:rStyle w:val="31"/>
          <w:rFonts w:ascii="Microsoft Sans Serif" w:hAnsi="Microsoft Sans Serif" w:cs="Microsoft Sans Serif"/>
          <w:sz w:val="20"/>
          <w:lang w:val="bs-Latn-BA"/>
        </w:rPr>
      </w:pP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 kod pacijenata sa koronarnom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bolesti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bez</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 otkucaja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volumen moždanog udara</w:t>
      </w:r>
      <w:r>
        <w:rPr>
          <w:rFonts w:ascii="Microsoft Sans Serif" w:hAnsi="Microsoft Sans Serif" w:cs="Microsoft Sans Serif"/>
          <w:sz w:val="20"/>
          <w:lang w:val="bs-Latn-BA"/>
        </w:rPr>
        <w:t xml:space="preserve">, a time i </w:t>
      </w:r>
      <w:r>
        <w:rPr>
          <w:rStyle w:val="31"/>
          <w:rFonts w:ascii="Microsoft Sans Serif" w:hAnsi="Microsoft Sans Serif" w:cs="Microsoft Sans Serif"/>
          <w:sz w:val="20"/>
          <w:lang w:val="bs-Latn-BA"/>
        </w:rPr>
        <w:t>minutni volumen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potrošnju kiseonika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 hroničnoj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povišeni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periferni otpor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smanjuje. </w:t>
      </w:r>
    </w:p>
    <w:p w14:paraId="14B8CF0C">
      <w:pPr>
        <w:jc w:val="both"/>
        <w:rPr>
          <w:rStyle w:val="31"/>
          <w:rFonts w:ascii="Microsoft Sans Serif" w:hAnsi="Microsoft Sans Serif" w:cs="Microsoft Sans Serif"/>
          <w:sz w:val="20"/>
          <w:lang w:val="bs-Latn-BA"/>
        </w:rPr>
      </w:pPr>
    </w:p>
    <w:p w14:paraId="10EBC02D">
      <w:pPr>
        <w:widowControl/>
        <w:jc w:val="both"/>
        <w:textAlignment w:val="top"/>
        <w:rPr>
          <w:rFonts w:ascii="Microsoft Sans Serif" w:hAnsi="Microsoft Sans Serif" w:cs="Microsoft Sans Serif"/>
          <w:sz w:val="20"/>
          <w:lang w:eastAsia="mk-MK"/>
        </w:rPr>
      </w:pPr>
      <w:r>
        <w:rPr>
          <w:rFonts w:ascii="Microsoft Sans Serif" w:hAnsi="Microsoft Sans Serif" w:cs="Microsoft Sans Serif"/>
          <w:sz w:val="20"/>
          <w:lang w:val="mk-MK" w:eastAsia="mk-MK"/>
        </w:rPr>
        <w:t xml:space="preserve">Kao i kod drugih </w:t>
      </w:r>
      <w:r>
        <w:rPr>
          <w:rFonts w:ascii="Microsoft Sans Serif" w:hAnsi="Microsoft Sans Serif" w:cs="Microsoft Sans Serif"/>
          <w:sz w:val="20"/>
          <w:lang w:eastAsia="mk-MK"/>
        </w:rPr>
        <w:t>beta</w:t>
      </w:r>
      <w:r>
        <w:rPr>
          <w:rFonts w:ascii="Microsoft Sans Serif" w:hAnsi="Microsoft Sans Serif" w:cs="Microsoft Sans Serif"/>
          <w:sz w:val="20"/>
          <w:lang w:val="mk-MK" w:eastAsia="mk-MK"/>
        </w:rPr>
        <w:t>1-</w:t>
      </w:r>
      <w:r>
        <w:rPr>
          <w:rFonts w:ascii="Microsoft Sans Serif" w:hAnsi="Microsoft Sans Serif" w:cs="Microsoft Sans Serif"/>
          <w:sz w:val="20"/>
          <w:lang w:eastAsia="mk-MK"/>
        </w:rPr>
        <w:t>blokatora</w:t>
      </w:r>
      <w:r>
        <w:rPr>
          <w:rFonts w:ascii="Microsoft Sans Serif" w:hAnsi="Microsoft Sans Serif" w:cs="Microsoft Sans Serif"/>
          <w:sz w:val="20"/>
          <w:lang w:val="mk-MK" w:eastAsia="mk-MK"/>
        </w:rPr>
        <w:t>, način d</w:t>
      </w:r>
      <w:r>
        <w:rPr>
          <w:rFonts w:ascii="Microsoft Sans Serif" w:hAnsi="Microsoft Sans Serif" w:cs="Microsoft Sans Serif"/>
          <w:sz w:val="20"/>
          <w:lang w:eastAsia="mk-MK"/>
        </w:rPr>
        <w:t>j</w:t>
      </w:r>
      <w:r>
        <w:rPr>
          <w:rFonts w:ascii="Microsoft Sans Serif" w:hAnsi="Microsoft Sans Serif" w:cs="Microsoft Sans Serif"/>
          <w:sz w:val="20"/>
          <w:lang w:val="mk-MK" w:eastAsia="mk-MK"/>
        </w:rPr>
        <w:t>elovanja u hipertenziji nije jasan, ali je poznato da bisoprolol značajno smanjuje aktivnost renina u plazmi.</w:t>
      </w:r>
    </w:p>
    <w:p w14:paraId="3F383665">
      <w:pPr>
        <w:widowControl/>
        <w:jc w:val="both"/>
        <w:textAlignment w:val="top"/>
        <w:rPr>
          <w:rFonts w:ascii="Microsoft Sans Serif" w:hAnsi="Microsoft Sans Serif" w:cs="Microsoft Sans Serif"/>
          <w:sz w:val="20"/>
          <w:lang w:eastAsia="mk-MK"/>
        </w:rPr>
      </w:pPr>
      <w:r>
        <w:rPr>
          <w:rFonts w:ascii="Microsoft Sans Serif" w:hAnsi="Microsoft Sans Serif" w:cs="Microsoft Sans Serif"/>
          <w:sz w:val="20"/>
          <w:lang w:val="mk-MK" w:eastAsia="mk-MK"/>
        </w:rPr>
        <w:t xml:space="preserve">Kod pacijenata sa anginom, blokada </w:t>
      </w:r>
      <w:r>
        <w:rPr>
          <w:rFonts w:ascii="Microsoft Sans Serif" w:hAnsi="Microsoft Sans Serif" w:cs="Microsoft Sans Serif"/>
          <w:sz w:val="20"/>
          <w:lang w:eastAsia="mk-MK"/>
        </w:rPr>
        <w:t>beta</w:t>
      </w:r>
      <w:r>
        <w:rPr>
          <w:rFonts w:ascii="Microsoft Sans Serif" w:hAnsi="Microsoft Sans Serif" w:cs="Microsoft Sans Serif"/>
          <w:sz w:val="20"/>
          <w:lang w:val="mk-MK" w:eastAsia="mk-MK"/>
        </w:rPr>
        <w:t>1-receptora smanjuje d</w:t>
      </w:r>
      <w:r>
        <w:rPr>
          <w:rFonts w:ascii="Microsoft Sans Serif" w:hAnsi="Microsoft Sans Serif" w:cs="Microsoft Sans Serif"/>
          <w:sz w:val="20"/>
          <w:lang w:eastAsia="mk-MK"/>
        </w:rPr>
        <w:t>j</w:t>
      </w:r>
      <w:r>
        <w:rPr>
          <w:rFonts w:ascii="Microsoft Sans Serif" w:hAnsi="Microsoft Sans Serif" w:cs="Microsoft Sans Serif"/>
          <w:sz w:val="20"/>
          <w:lang w:val="mk-MK" w:eastAsia="mk-MK"/>
        </w:rPr>
        <w:t>elovanje srca i time smanjuje potrebu za kiseonikom. Zbog toga je bisoprolol efikasan u eliminisanju ili smanjenju simptoma</w:t>
      </w:r>
      <w:r>
        <w:rPr>
          <w:rFonts w:ascii="Microsoft Sans Serif" w:hAnsi="Microsoft Sans Serif" w:cs="Microsoft Sans Serif"/>
          <w:sz w:val="20"/>
          <w:lang w:eastAsia="mk-MK"/>
        </w:rPr>
        <w:t>.</w:t>
      </w:r>
    </w:p>
    <w:p w14:paraId="6A8B956F">
      <w:pPr>
        <w:jc w:val="both"/>
        <w:rPr>
          <w:rFonts w:ascii="Microsoft Sans Serif" w:hAnsi="Microsoft Sans Serif" w:cs="Microsoft Sans Serif"/>
          <w:sz w:val="20"/>
        </w:rPr>
      </w:pPr>
    </w:p>
    <w:p w14:paraId="07F0ADE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74B2917">
      <w:pPr>
        <w:jc w:val="both"/>
        <w:rPr>
          <w:rFonts w:ascii="Microsoft Sans Serif" w:hAnsi="Microsoft Sans Serif" w:cs="Microsoft Sans Serif"/>
          <w:sz w:val="20"/>
          <w:lang w:val="bs-Latn-BA"/>
        </w:rPr>
      </w:pPr>
    </w:p>
    <w:p w14:paraId="59743278">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Apsorpcija</w:t>
      </w:r>
    </w:p>
    <w:p w14:paraId="59C0FAA3">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Bisoprolol se apsorbuje i ima biološku raspoloživost od oko 90% nakon oralne primjene.</w:t>
      </w:r>
    </w:p>
    <w:p w14:paraId="5B5C1F46">
      <w:pPr>
        <w:jc w:val="both"/>
        <w:rPr>
          <w:rFonts w:ascii="Microsoft Sans Serif" w:hAnsi="Microsoft Sans Serif" w:cs="Microsoft Sans Serif"/>
          <w:sz w:val="20"/>
          <w:lang w:val="bs-Latn-BA"/>
        </w:rPr>
      </w:pPr>
    </w:p>
    <w:p w14:paraId="78289505">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Distribucija</w:t>
      </w:r>
    </w:p>
    <w:p w14:paraId="47E9E3C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Volumen distribucije je 3,5 l/kg. Bisoprolol se svega oko 30% veže za plazmatske proteine.</w:t>
      </w:r>
    </w:p>
    <w:p w14:paraId="72D4A9B3">
      <w:pPr>
        <w:autoSpaceDE w:val="0"/>
        <w:autoSpaceDN w:val="0"/>
        <w:adjustRightInd w:val="0"/>
        <w:jc w:val="both"/>
        <w:rPr>
          <w:rFonts w:ascii="Microsoft Sans Serif" w:hAnsi="Microsoft Sans Serif" w:cs="Microsoft Sans Serif"/>
          <w:sz w:val="20"/>
          <w:lang w:val="bs-Latn-BA"/>
        </w:rPr>
      </w:pPr>
    </w:p>
    <w:p w14:paraId="637F38C1">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Biotransformacija i eliminacija </w:t>
      </w:r>
    </w:p>
    <w:p w14:paraId="22B1205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Bisoprolol se izlučuje na dva načina, i to: 50% metabolizuje se u jetri do neaktivnih metabolita koji se zatim izlučuju putem bubrega, a preostalih 50% se izlučuje putem bubrega u nepromijenjenom obliku. Ukupni klirens je oko 15 l/h. Poluživot u plazmi od deset do 12 sati daje dejstvo 24 sata nakon doziranja jednom dnevno.</w:t>
      </w:r>
    </w:p>
    <w:p w14:paraId="0032E72E">
      <w:pPr>
        <w:autoSpaceDE w:val="0"/>
        <w:autoSpaceDN w:val="0"/>
        <w:adjustRightInd w:val="0"/>
        <w:jc w:val="both"/>
        <w:rPr>
          <w:rFonts w:ascii="Microsoft Sans Serif" w:hAnsi="Microsoft Sans Serif" w:cs="Microsoft Sans Serif"/>
          <w:sz w:val="20"/>
          <w:lang w:val="hr-HR"/>
        </w:rPr>
      </w:pPr>
    </w:p>
    <w:p w14:paraId="3BDB71F4">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Lineranost</w:t>
      </w:r>
    </w:p>
    <w:p w14:paraId="6CAF77D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Kinetika bisoprolola je linearna i nezavisna od uzrasta. </w:t>
      </w:r>
    </w:p>
    <w:p w14:paraId="2295E919">
      <w:pPr>
        <w:jc w:val="both"/>
        <w:rPr>
          <w:rFonts w:ascii="Microsoft Sans Serif" w:hAnsi="Microsoft Sans Serif" w:cs="Microsoft Sans Serif"/>
          <w:sz w:val="20"/>
          <w:lang w:val="bs-Latn-BA"/>
        </w:rPr>
      </w:pPr>
    </w:p>
    <w:p w14:paraId="6C1C2425">
      <w:pPr>
        <w:jc w:val="both"/>
        <w:textAlignment w:val="top"/>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Posebna populacija</w:t>
      </w:r>
    </w:p>
    <w:p w14:paraId="0EA384E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Budući da se eliminacija odvija u bubrezima i jetri u istoj mjeri doza prilagođavanja nije potrebna za pacijente sa oštećenjem funkcije jetre ili bubrežne insuficijencije. Farmakokinetika kod pacijenata sa stabilnom hroničnom srčanom slabošću i sa smanjenom funkcijom jetre ili bubrega nije ispitivana. Kod pacijenata sa hroničnom srčanom slabošću (NYHA stepen III) plazmatske koncentracije bisoprolola su veće i poluživot je produžen u odnosu na zdrave dobrovoljce. Maksimalne koncentracije u plazmi u ravnotežnom stanju su 64 ng/ml ± 21 ng/ml, u dnevnoj dozi od 10 mg i poluživot je 17 ± 5 sati.</w:t>
      </w:r>
    </w:p>
    <w:p w14:paraId="322E1CEF">
      <w:pPr>
        <w:jc w:val="both"/>
        <w:rPr>
          <w:rFonts w:ascii="Microsoft Sans Serif" w:hAnsi="Microsoft Sans Serif" w:cs="Microsoft Sans Serif"/>
          <w:sz w:val="20"/>
          <w:lang w:val="bs-Latn-BA"/>
        </w:rPr>
      </w:pPr>
    </w:p>
    <w:p w14:paraId="2E18CB3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08383D38">
      <w:pPr>
        <w:jc w:val="both"/>
        <w:rPr>
          <w:rFonts w:ascii="Microsoft Sans Serif" w:hAnsi="Microsoft Sans Serif" w:cs="Microsoft Sans Serif"/>
          <w:sz w:val="20"/>
          <w:lang w:val="bs-Latn-BA"/>
        </w:rPr>
      </w:pPr>
    </w:p>
    <w:p w14:paraId="70915114">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Pretklinički podaci bazirani na konvencionalnim studijama bezbjednosti, toksičnosti ponavljanih doza, genotoksičnosti ili kancerogenosti nisu pokazale opasnosti po ljudi. </w:t>
      </w:r>
      <w:r>
        <w:rPr>
          <w:rFonts w:ascii="Microsoft Sans Serif" w:hAnsi="Microsoft Sans Serif" w:cs="Microsoft Sans Serif"/>
          <w:sz w:val="20"/>
          <w:lang w:val="bs-Latn-BA" w:eastAsia="en-GB"/>
        </w:rPr>
        <w:t>Poput drugih beta-blokatora, bisoprolol u velikim dozama izazvao je toksičnost kod majki (smanjen unos hrane i smanjuje tjelesnu težinu) i toksičnost kod embriona/fetusa (povećana incidencija resorpcije, smanjene porođajne težine potomaka, usporen fizički razvoj), ali nije bio teratogen.</w:t>
      </w:r>
    </w:p>
    <w:p w14:paraId="11E04DE6">
      <w:pPr>
        <w:jc w:val="both"/>
        <w:rPr>
          <w:rFonts w:ascii="Microsoft Sans Serif" w:hAnsi="Microsoft Sans Serif" w:cs="Microsoft Sans Serif"/>
          <w:sz w:val="20"/>
          <w:lang w:val="bs-Latn-BA"/>
        </w:rPr>
      </w:pPr>
    </w:p>
    <w:p w14:paraId="65193E1B">
      <w:pPr>
        <w:jc w:val="both"/>
        <w:rPr>
          <w:rFonts w:ascii="Microsoft Sans Serif" w:hAnsi="Microsoft Sans Serif" w:cs="Microsoft Sans Serif"/>
          <w:sz w:val="20"/>
          <w:lang w:val="bs-Latn-BA"/>
        </w:rPr>
      </w:pPr>
    </w:p>
    <w:p w14:paraId="14706B93">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37DBB11B">
      <w:pPr>
        <w:jc w:val="both"/>
        <w:rPr>
          <w:rFonts w:ascii="Microsoft Sans Serif" w:hAnsi="Microsoft Sans Serif" w:cs="Microsoft Sans Serif"/>
          <w:b/>
          <w:sz w:val="20"/>
          <w:lang w:val="sr-Latn-BA"/>
        </w:rPr>
      </w:pPr>
    </w:p>
    <w:p w14:paraId="02263653">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EFEB5A5">
      <w:pPr>
        <w:jc w:val="both"/>
        <w:rPr>
          <w:rFonts w:ascii="Microsoft Sans Serif" w:hAnsi="Microsoft Sans Serif" w:cs="Microsoft Sans Serif"/>
          <w:sz w:val="20"/>
          <w:lang w:val="pl-PL"/>
        </w:rPr>
      </w:pPr>
    </w:p>
    <w:p w14:paraId="5C8B23DA">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60EB59C7">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sz w:val="20"/>
          <w:lang w:val="hr-HR"/>
        </w:rPr>
        <w:t>Silificirana mikrokristalna celuloza (celuloza, mikrokristalna 98%/silicijum dioksid, koloidni, bezvodni 2%)</w:t>
      </w:r>
    </w:p>
    <w:p w14:paraId="3FE02399">
      <w:pPr>
        <w:jc w:val="both"/>
        <w:rPr>
          <w:rFonts w:ascii="Microsoft Sans Serif" w:hAnsi="Microsoft Sans Serif" w:cs="Microsoft Sans Serif"/>
          <w:sz w:val="20"/>
          <w:lang w:val="de-DE"/>
        </w:rPr>
      </w:pPr>
      <w:r>
        <w:rPr>
          <w:rFonts w:ascii="Microsoft Sans Serif" w:hAnsi="Microsoft Sans Serif" w:cs="Microsoft Sans Serif"/>
          <w:sz w:val="20"/>
          <w:lang w:val="de-DE"/>
        </w:rPr>
        <w:t>Krospovidon;</w:t>
      </w:r>
    </w:p>
    <w:p w14:paraId="14C28B89">
      <w:pPr>
        <w:jc w:val="both"/>
        <w:rPr>
          <w:rFonts w:ascii="Microsoft Sans Serif" w:hAnsi="Microsoft Sans Serif" w:cs="Microsoft Sans Serif"/>
          <w:sz w:val="20"/>
          <w:lang w:val="de-DE"/>
        </w:rPr>
      </w:pPr>
      <w:r>
        <w:rPr>
          <w:rFonts w:ascii="Microsoft Sans Serif" w:hAnsi="Microsoft Sans Serif" w:cs="Microsoft Sans Serif"/>
          <w:sz w:val="20"/>
          <w:lang w:val="de-DE"/>
        </w:rPr>
        <w:t>Glicerol dibehenat;</w:t>
      </w:r>
    </w:p>
    <w:p w14:paraId="066FD047">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 xml:space="preserve">Film obloga: </w:t>
      </w:r>
    </w:p>
    <w:p w14:paraId="0A95EE8A">
      <w:pPr>
        <w:jc w:val="both"/>
        <w:rPr>
          <w:rFonts w:ascii="Microsoft Sans Serif" w:hAnsi="Microsoft Sans Serif" w:cs="Microsoft Sans Serif"/>
          <w:sz w:val="20"/>
          <w:lang w:val="hr-HR"/>
        </w:rPr>
      </w:pPr>
      <w:r>
        <w:rPr>
          <w:rFonts w:ascii="Microsoft Sans Serif" w:hAnsi="Microsoft Sans Serif" w:cs="Microsoft Sans Serif"/>
          <w:sz w:val="20"/>
          <w:lang w:val="hr-HR"/>
        </w:rPr>
        <w:t>Opadry žuti (hipromeloza; titan dioksid E171; makrogol 400 i gvožđe-oksid žuto E172);</w:t>
      </w:r>
    </w:p>
    <w:p w14:paraId="34ECE732">
      <w:pPr>
        <w:jc w:val="both"/>
        <w:rPr>
          <w:rFonts w:ascii="Microsoft Sans Serif" w:hAnsi="Microsoft Sans Serif" w:cs="Microsoft Sans Serif"/>
          <w:sz w:val="20"/>
          <w:lang w:val="pl-PL"/>
        </w:rPr>
      </w:pPr>
    </w:p>
    <w:p w14:paraId="7F6E327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41920B9E">
      <w:pPr>
        <w:jc w:val="both"/>
        <w:rPr>
          <w:rFonts w:ascii="Microsoft Sans Serif" w:hAnsi="Microsoft Sans Serif" w:cs="Microsoft Sans Serif"/>
          <w:sz w:val="20"/>
        </w:rPr>
      </w:pPr>
    </w:p>
    <w:p w14:paraId="1AD47BE6">
      <w:pPr>
        <w:jc w:val="both"/>
        <w:rPr>
          <w:rFonts w:ascii="Microsoft Sans Serif" w:hAnsi="Microsoft Sans Serif" w:cs="Microsoft Sans Serif"/>
          <w:sz w:val="20"/>
        </w:rPr>
      </w:pPr>
      <w:r>
        <w:rPr>
          <w:rFonts w:ascii="Microsoft Sans Serif" w:hAnsi="Microsoft Sans Serif" w:cs="Microsoft Sans Serif"/>
          <w:sz w:val="20"/>
        </w:rPr>
        <w:t>Nije primenjivo.</w:t>
      </w:r>
    </w:p>
    <w:p w14:paraId="64A1F5AD">
      <w:pPr>
        <w:jc w:val="both"/>
        <w:rPr>
          <w:rFonts w:ascii="Microsoft Sans Serif" w:hAnsi="Microsoft Sans Serif" w:cs="Microsoft Sans Serif"/>
          <w:sz w:val="20"/>
        </w:rPr>
      </w:pPr>
    </w:p>
    <w:p w14:paraId="345AE6D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1E5746D0">
      <w:pPr>
        <w:jc w:val="both"/>
        <w:rPr>
          <w:rFonts w:ascii="Microsoft Sans Serif" w:hAnsi="Microsoft Sans Serif" w:cs="Microsoft Sans Serif"/>
          <w:sz w:val="20"/>
          <w:lang w:val="bs-Latn-BA"/>
        </w:rPr>
      </w:pPr>
    </w:p>
    <w:p w14:paraId="15445895">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7A06F663">
      <w:pPr>
        <w:jc w:val="both"/>
        <w:rPr>
          <w:rFonts w:ascii="Microsoft Sans Serif" w:hAnsi="Microsoft Sans Serif" w:cs="Microsoft Sans Serif"/>
          <w:sz w:val="20"/>
          <w:lang w:val="bs-Latn-BA"/>
        </w:rPr>
      </w:pPr>
    </w:p>
    <w:p w14:paraId="78271E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0FD8CC1A">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0B1AA8A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Lijek treba čuvati na temperaturi do </w:t>
      </w:r>
      <w:r>
        <w:rPr>
          <w:rFonts w:ascii="Microsoft Sans Serif" w:hAnsi="Microsoft Sans Serif" w:cs="Microsoft Sans Serif"/>
          <w:sz w:val="20"/>
          <w:lang w:val="mk-MK"/>
        </w:rPr>
        <w:t>25</w:t>
      </w:r>
      <w:r>
        <w:rPr>
          <w:rFonts w:ascii="Microsoft Sans Serif" w:hAnsi="Microsoft Sans Serif" w:cs="Microsoft Sans Serif"/>
          <w:sz w:val="20"/>
        </w:rPr>
        <w:sym w:font="Symbol" w:char="F0B0"/>
      </w:r>
      <w:r>
        <w:rPr>
          <w:rFonts w:ascii="Microsoft Sans Serif" w:hAnsi="Microsoft Sans Serif" w:cs="Microsoft Sans Serif"/>
          <w:sz w:val="20"/>
          <w:lang w:val="mk-MK"/>
        </w:rPr>
        <w:t>С</w:t>
      </w:r>
      <w:r>
        <w:rPr>
          <w:rFonts w:ascii="Microsoft Sans Serif" w:hAnsi="Microsoft Sans Serif" w:cs="Microsoft Sans Serif"/>
          <w:sz w:val="20"/>
          <w:lang w:val="hr-HR"/>
        </w:rPr>
        <w:t xml:space="preserve"> u originalnom pakovanju, zaštićeno od vlage.</w:t>
      </w:r>
    </w:p>
    <w:p w14:paraId="18C4289E">
      <w:pPr>
        <w:jc w:val="both"/>
        <w:outlineLvl w:val="0"/>
        <w:rPr>
          <w:rFonts w:ascii="Microsoft Sans Serif" w:hAnsi="Microsoft Sans Serif" w:cs="Microsoft Sans Serif"/>
          <w:sz w:val="20"/>
          <w:lang w:val="pl-PL"/>
        </w:rPr>
      </w:pPr>
    </w:p>
    <w:p w14:paraId="3857001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CABC2F4">
      <w:pPr>
        <w:jc w:val="both"/>
        <w:outlineLvl w:val="0"/>
        <w:rPr>
          <w:rFonts w:ascii="Microsoft Sans Serif" w:hAnsi="Microsoft Sans Serif" w:cs="Microsoft Sans Serif"/>
          <w:b/>
          <w:sz w:val="20"/>
          <w:lang w:val="pl-PL"/>
        </w:rPr>
      </w:pPr>
    </w:p>
    <w:p w14:paraId="6462FEDA">
      <w:pPr>
        <w:jc w:val="both"/>
        <w:rPr>
          <w:rFonts w:ascii="Microsoft Sans Serif" w:hAnsi="Microsoft Sans Serif" w:cs="Microsoft Sans Serif"/>
          <w:sz w:val="20"/>
          <w:lang w:val="hr-HR"/>
        </w:rPr>
      </w:pP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tablete su pakovane u blister pakovanje (</w:t>
      </w:r>
      <w:r>
        <w:rPr>
          <w:rFonts w:ascii="Microsoft Sans Serif" w:hAnsi="Microsoft Sans Serif" w:eastAsia="TimesNewRoman" w:cs="Microsoft Sans Serif"/>
          <w:sz w:val="20"/>
        </w:rPr>
        <w:t>PVC/PVdC/</w:t>
      </w:r>
      <w:r>
        <w:rPr>
          <w:rFonts w:ascii="Microsoft Sans Serif" w:hAnsi="Microsoft Sans Serif" w:cs="Microsoft Sans Serif"/>
          <w:sz w:val="20"/>
        </w:rPr>
        <w:t>Al folija) koji sadr</w:t>
      </w:r>
      <w:r>
        <w:rPr>
          <w:rFonts w:ascii="Microsoft Sans Serif" w:hAnsi="Microsoft Sans Serif" w:cs="Microsoft Sans Serif"/>
          <w:sz w:val="20"/>
          <w:lang w:val="hr-HR"/>
        </w:rPr>
        <w:t>ž</w:t>
      </w:r>
      <w:r>
        <w:rPr>
          <w:rFonts w:ascii="Microsoft Sans Serif" w:hAnsi="Microsoft Sans Serif" w:cs="Microsoft Sans Serif"/>
          <w:sz w:val="20"/>
        </w:rPr>
        <w:t xml:space="preserve">i </w:t>
      </w:r>
      <w:r>
        <w:rPr>
          <w:rFonts w:ascii="Microsoft Sans Serif" w:hAnsi="Microsoft Sans Serif" w:cs="Microsoft Sans Serif"/>
          <w:sz w:val="20"/>
          <w:lang w:val="hr-HR"/>
        </w:rPr>
        <w:t>10</w:t>
      </w:r>
      <w:r>
        <w:rPr>
          <w:rFonts w:ascii="Microsoft Sans Serif" w:hAnsi="Microsoft Sans Serif" w:cs="Microsoft Sans Serif"/>
          <w:sz w:val="20"/>
        </w:rPr>
        <w:t xml:space="preserve"> tableta. </w:t>
      </w:r>
      <w:r>
        <w:rPr>
          <w:rFonts w:ascii="Microsoft Sans Serif" w:hAnsi="Microsoft Sans Serif" w:cs="Microsoft Sans Serif"/>
          <w:sz w:val="20"/>
          <w:lang w:val="es-MX"/>
        </w:rPr>
        <w:t>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film</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w:t>
      </w:r>
      <w:r>
        <w:rPr>
          <w:rFonts w:ascii="Microsoft Sans Serif" w:hAnsi="Microsoft Sans Serif" w:cs="Microsoft Sans Serif"/>
          <w:sz w:val="20"/>
          <w:lang w:val="hr-HR"/>
        </w:rPr>
        <w:t>.</w:t>
      </w:r>
    </w:p>
    <w:p w14:paraId="44D7E6E8">
      <w:pPr>
        <w:jc w:val="both"/>
        <w:rPr>
          <w:rFonts w:ascii="Microsoft Sans Serif" w:hAnsi="Microsoft Sans Serif" w:cs="Microsoft Sans Serif"/>
          <w:sz w:val="20"/>
          <w:lang w:val="hr-HR"/>
        </w:rPr>
      </w:pPr>
    </w:p>
    <w:p w14:paraId="29C239D5">
      <w:pPr>
        <w:widowControl/>
        <w:numPr>
          <w:ilvl w:val="1"/>
          <w:numId w:val="8"/>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B317B45">
      <w:pPr>
        <w:jc w:val="both"/>
        <w:rPr>
          <w:rFonts w:ascii="Microsoft Sans Serif" w:hAnsi="Microsoft Sans Serif" w:cs="Microsoft Sans Serif"/>
          <w:sz w:val="20"/>
        </w:rPr>
      </w:pPr>
    </w:p>
    <w:p w14:paraId="5452C634">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068AA551">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FF4C189">
      <w:pPr>
        <w:jc w:val="both"/>
        <w:rPr>
          <w:rFonts w:ascii="Microsoft Sans Serif" w:hAnsi="Microsoft Sans Serif" w:cs="Microsoft Sans Serif"/>
          <w:b/>
          <w:sz w:val="20"/>
          <w:lang w:val="sr-Latn-BA"/>
        </w:rPr>
      </w:pPr>
    </w:p>
    <w:p w14:paraId="3BB16595">
      <w:pPr>
        <w:widowControl/>
        <w:numPr>
          <w:ilvl w:val="1"/>
          <w:numId w:val="8"/>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F92E38A">
      <w:pPr>
        <w:tabs>
          <w:tab w:val="left" w:pos="567"/>
        </w:tabs>
        <w:jc w:val="both"/>
        <w:rPr>
          <w:rFonts w:ascii="Microsoft Sans Serif" w:hAnsi="Microsoft Sans Serif" w:cs="Microsoft Sans Serif"/>
          <w:sz w:val="20"/>
          <w:lang w:val="sr-Latn-BA"/>
        </w:rPr>
      </w:pPr>
    </w:p>
    <w:p w14:paraId="612FF9E0">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891F0ED">
      <w:pPr>
        <w:jc w:val="both"/>
        <w:rPr>
          <w:rFonts w:ascii="Microsoft Sans Serif" w:hAnsi="Microsoft Sans Serif" w:cs="Microsoft Sans Serif"/>
          <w:sz w:val="20"/>
          <w:lang w:val="bs-Latn-BA"/>
        </w:rPr>
      </w:pPr>
    </w:p>
    <w:p w14:paraId="61D472D0">
      <w:pPr>
        <w:jc w:val="both"/>
        <w:rPr>
          <w:rFonts w:ascii="Microsoft Sans Serif" w:hAnsi="Microsoft Sans Serif" w:cs="Microsoft Sans Serif"/>
          <w:sz w:val="20"/>
          <w:lang w:val="bs-Latn-BA"/>
        </w:rPr>
      </w:pPr>
    </w:p>
    <w:p w14:paraId="2E4570AD">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7.</w:t>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 xml:space="preserve">Proizvođač </w:t>
      </w:r>
    </w:p>
    <w:p w14:paraId="390071E4">
      <w:pPr>
        <w:pStyle w:val="20"/>
        <w:tabs>
          <w:tab w:val="clear" w:pos="4320"/>
          <w:tab w:val="clear" w:pos="8640"/>
        </w:tabs>
        <w:jc w:val="both"/>
        <w:rPr>
          <w:rFonts w:ascii="Microsoft Sans Serif" w:hAnsi="Microsoft Sans Serif" w:cs="Microsoft Sans Serif"/>
          <w:sz w:val="20"/>
          <w:lang w:val="sr-Latn-BA"/>
        </w:rPr>
      </w:pPr>
    </w:p>
    <w:p w14:paraId="611E17E2">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A87340F">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FE50010">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5F402CC5">
      <w:pPr>
        <w:jc w:val="both"/>
        <w:rPr>
          <w:rFonts w:ascii="Microsoft Sans Serif" w:hAnsi="Microsoft Sans Serif" w:cs="Microsoft Sans Serif"/>
          <w:sz w:val="20"/>
          <w:lang w:val="hr-HR"/>
        </w:rPr>
      </w:pPr>
    </w:p>
    <w:p w14:paraId="3C025BE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18D958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FAEFEC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770760D">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206DAA44">
      <w:pPr>
        <w:pStyle w:val="20"/>
        <w:tabs>
          <w:tab w:val="clear" w:pos="4320"/>
          <w:tab w:val="clear" w:pos="8640"/>
        </w:tabs>
        <w:jc w:val="both"/>
        <w:rPr>
          <w:rFonts w:ascii="Microsoft Sans Serif" w:hAnsi="Microsoft Sans Serif" w:cs="Microsoft Sans Serif"/>
          <w:sz w:val="20"/>
          <w:lang w:val="sr-Latn-BA"/>
        </w:rPr>
      </w:pPr>
    </w:p>
    <w:p w14:paraId="2A29A881">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 xml:space="preserve">Nositelj dozvole za stavljanje gotovog lijeka u promet </w:t>
      </w:r>
    </w:p>
    <w:p w14:paraId="1B322060">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D10CF9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broj 6, Sarajevo</w:t>
      </w:r>
    </w:p>
    <w:p w14:paraId="38F920C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486B90C4">
      <w:pPr>
        <w:jc w:val="both"/>
        <w:rPr>
          <w:rFonts w:ascii="Microsoft Sans Serif" w:hAnsi="Microsoft Sans Serif" w:cs="Microsoft Sans Serif"/>
          <w:sz w:val="20"/>
          <w:lang w:val="bs-Latn-BA"/>
        </w:rPr>
      </w:pPr>
    </w:p>
    <w:p w14:paraId="619D8F8F">
      <w:pPr>
        <w:tabs>
          <w:tab w:val="left" w:pos="567"/>
        </w:tabs>
        <w:jc w:val="both"/>
        <w:rPr>
          <w:rFonts w:ascii="Microsoft Sans Serif" w:hAnsi="Microsoft Sans Serif" w:cs="Microsoft Sans Serif"/>
          <w:sz w:val="20"/>
          <w:lang w:val="sr-Latn-BA"/>
        </w:rPr>
      </w:pPr>
    </w:p>
    <w:p w14:paraId="7499516A">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8D54200">
      <w:pPr>
        <w:jc w:val="both"/>
        <w:rPr>
          <w:rFonts w:ascii="Microsoft Sans Serif" w:hAnsi="Microsoft Sans Serif" w:cs="Microsoft Sans Serif"/>
          <w:b/>
          <w:sz w:val="20"/>
          <w:lang w:val="pl-PL"/>
        </w:rPr>
      </w:pPr>
    </w:p>
    <w:p w14:paraId="27EFA571">
      <w:pPr>
        <w:rPr>
          <w:rFonts w:ascii="Microsoft Sans Serif" w:hAnsi="Microsoft Sans Serif" w:cs="Microsoft Sans Serif"/>
          <w:sz w:val="20"/>
        </w:rPr>
      </w:pPr>
      <w:r>
        <w:rPr>
          <w:rFonts w:ascii="Microsoft Sans Serif" w:hAnsi="Microsoft Sans Serif" w:cs="Microsoft Sans Serif"/>
          <w:sz w:val="20"/>
          <w:u w:val="single"/>
        </w:rPr>
        <w:t>Bipresso</w:t>
      </w:r>
      <w:r>
        <w:rPr>
          <w:rFonts w:ascii="Microsoft Sans Serif" w:hAnsi="Microsoft Sans Serif" w:cs="Microsoft Sans Serif"/>
          <w:sz w:val="20"/>
          <w:lang w:val="pl-PL"/>
        </w:rPr>
        <w:t xml:space="preserve">, 30 x 5 mg, film tableta. </w:t>
      </w:r>
      <w:r>
        <w:rPr>
          <w:rFonts w:ascii="Microsoft Sans Serif" w:hAnsi="Microsoft Sans Serif" w:cs="Microsoft Sans Serif"/>
          <w:sz w:val="20"/>
          <w:lang w:val="sr-Latn-RS"/>
        </w:rPr>
        <w:t>04-07.3-2-2598/18</w:t>
      </w:r>
      <w:r>
        <w:rPr>
          <w:rFonts w:ascii="Microsoft Sans Serif" w:hAnsi="Microsoft Sans Serif" w:cs="Microsoft Sans Serif"/>
          <w:sz w:val="20"/>
        </w:rPr>
        <w:t xml:space="preserve"> od </w:t>
      </w:r>
      <w:r>
        <w:rPr>
          <w:rFonts w:ascii="Microsoft Sans Serif" w:hAnsi="Microsoft Sans Serif" w:cs="Microsoft Sans Serif"/>
          <w:sz w:val="20"/>
          <w:lang w:val="sr-Latn-RS"/>
        </w:rPr>
        <w:t>18.01.2019</w:t>
      </w:r>
    </w:p>
    <w:p w14:paraId="2FAA9720">
      <w:pPr>
        <w:rPr>
          <w:rFonts w:ascii="Microsoft Sans Serif" w:hAnsi="Microsoft Sans Serif" w:cs="Microsoft Sans Serif"/>
          <w:sz w:val="20"/>
        </w:rPr>
      </w:pPr>
      <w:r>
        <w:rPr>
          <w:rFonts w:ascii="Microsoft Sans Serif" w:hAnsi="Microsoft Sans Serif" w:cs="Microsoft Sans Serif"/>
          <w:sz w:val="20"/>
          <w:u w:val="single"/>
        </w:rPr>
        <w:t>Bipresso</w:t>
      </w:r>
      <w:r>
        <w:rPr>
          <w:rFonts w:ascii="Microsoft Sans Serif" w:hAnsi="Microsoft Sans Serif" w:cs="Microsoft Sans Serif"/>
          <w:sz w:val="20"/>
          <w:lang w:val="pl-PL"/>
        </w:rPr>
        <w:t>, 30 x 10 mg, film tableta.</w:t>
      </w:r>
      <w:r>
        <w:rPr>
          <w:rFonts w:ascii="Microsoft Sans Serif" w:hAnsi="Microsoft Sans Serif" w:cs="Microsoft Sans Serif"/>
          <w:sz w:val="20"/>
          <w:lang w:val="sr-Latn-RS"/>
        </w:rPr>
        <w:t>04-07.3-2-2617/18</w:t>
      </w:r>
      <w:r>
        <w:rPr>
          <w:rFonts w:ascii="Microsoft Sans Serif" w:hAnsi="Microsoft Sans Serif" w:cs="Microsoft Sans Serif"/>
          <w:sz w:val="20"/>
        </w:rPr>
        <w:t xml:space="preserve"> od </w:t>
      </w:r>
      <w:r>
        <w:rPr>
          <w:rFonts w:ascii="Microsoft Sans Serif" w:hAnsi="Microsoft Sans Serif" w:cs="Microsoft Sans Serif"/>
          <w:sz w:val="20"/>
          <w:lang w:val="sr-Latn-RS"/>
        </w:rPr>
        <w:t>18.01.2019</w:t>
      </w:r>
    </w:p>
    <w:p w14:paraId="239DCEC8">
      <w:pPr>
        <w:jc w:val="both"/>
        <w:rPr>
          <w:rFonts w:ascii="Microsoft Sans Serif" w:hAnsi="Microsoft Sans Serif" w:cs="Microsoft Sans Serif"/>
          <w:sz w:val="20"/>
          <w:lang w:val="pl-PL"/>
        </w:rPr>
      </w:pPr>
    </w:p>
    <w:p w14:paraId="7812A50C">
      <w:pPr>
        <w:jc w:val="both"/>
        <w:rPr>
          <w:rFonts w:ascii="Microsoft Sans Serif" w:hAnsi="Microsoft Sans Serif" w:cs="Microsoft Sans Serif"/>
          <w:b/>
          <w:sz w:val="20"/>
          <w:lang w:val="pl-PL"/>
        </w:rPr>
      </w:pPr>
    </w:p>
    <w:p w14:paraId="7E52A7C1">
      <w:pPr>
        <w:jc w:val="both"/>
        <w:rPr>
          <w:rFonts w:ascii="Microsoft Sans Serif" w:hAnsi="Microsoft Sans Serif" w:cs="Microsoft Sans Serif"/>
          <w:b/>
          <w:sz w:val="20"/>
          <w:lang w:val="pl-PL"/>
        </w:rPr>
      </w:pPr>
    </w:p>
    <w:p w14:paraId="43FA949E">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7F2454D3">
      <w:pPr>
        <w:pStyle w:val="20"/>
        <w:tabs>
          <w:tab w:val="clear" w:pos="4320"/>
          <w:tab w:val="clear" w:pos="8640"/>
        </w:tabs>
        <w:jc w:val="both"/>
        <w:rPr>
          <w:rFonts w:ascii="Microsoft Sans Serif" w:hAnsi="Microsoft Sans Serif" w:cs="Microsoft Sans Serif"/>
          <w:sz w:val="20"/>
          <w:lang w:val="sr-Latn-BA"/>
        </w:rPr>
      </w:pPr>
    </w:p>
    <w:p w14:paraId="2FD7244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Januar, 2019 g.</w:t>
      </w:r>
    </w:p>
    <w:p w14:paraId="6B979AEC">
      <w:pPr>
        <w:jc w:val="both"/>
        <w:rPr>
          <w:rFonts w:ascii="Microsoft Sans Serif" w:hAnsi="Microsoft Sans Serif" w:cs="Microsoft Sans Serif"/>
          <w:sz w:val="20"/>
          <w:lang w:val="sr-Latn-BA"/>
        </w:rPr>
      </w:pPr>
    </w:p>
    <w:p w14:paraId="321F357D">
      <w:pPr>
        <w:jc w:val="both"/>
        <w:rPr>
          <w:rFonts w:ascii="Microsoft Sans Serif" w:hAnsi="Microsoft Sans Serif" w:cs="Microsoft Sans Serif"/>
          <w:b/>
          <w:sz w:val="20"/>
          <w:lang w:val="pl-PL"/>
        </w:rPr>
      </w:pPr>
    </w:p>
    <w:sectPr>
      <w:headerReference r:id="rId3" w:type="first"/>
      <w:footerReference r:id="rId4" w:type="default"/>
      <w:footerReference r:id="rId5" w:type="even"/>
      <w:endnotePr>
        <w:numFmt w:val="decimal"/>
      </w:endnotePr>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20B7200000000000000"/>
    <w:charset w:val="00"/>
    <w:family w:val="swiss"/>
    <w:pitch w:val="default"/>
    <w:sig w:usb0="00000000" w:usb1="00000000" w:usb2="00000000" w:usb3="00000000" w:csb0="00000009"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 w:name="MAC C Times">
    <w:altName w:val="Segoe Print"/>
    <w:panose1 w:val="020272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3FEE">
    <w:pPr>
      <w:pStyle w:val="19"/>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9</w:t>
    </w:r>
    <w:r>
      <w:rPr>
        <w:rFonts w:ascii="Microsoft Sans Serif" w:hAnsi="Microsoft Sans Serif" w:cs="Microsoft Sans Serif"/>
        <w:sz w:val="18"/>
        <w:szCs w:val="18"/>
      </w:rPr>
      <w:fldChar w:fldCharType="end"/>
    </w:r>
  </w:p>
  <w:p w14:paraId="5F5A72B0">
    <w:pPr>
      <w:pStyle w:val="19"/>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73F4">
    <w:pPr>
      <w:pStyle w:val="19"/>
      <w:framePr w:wrap="around" w:vAnchor="text" w:hAnchor="margin" w:xAlign="right" w:y="1"/>
      <w:widowControl/>
      <w:rPr>
        <w:rStyle w:val="23"/>
        <w:sz w:val="24"/>
      </w:rPr>
    </w:pPr>
    <w:r>
      <w:rPr>
        <w:rStyle w:val="23"/>
        <w:sz w:val="24"/>
      </w:rPr>
      <w:fldChar w:fldCharType="begin"/>
    </w:r>
    <w:r>
      <w:rPr>
        <w:rStyle w:val="23"/>
        <w:sz w:val="24"/>
      </w:rPr>
      <w:instrText xml:space="preserve">page  </w:instrText>
    </w:r>
    <w:r>
      <w:rPr>
        <w:rStyle w:val="23"/>
        <w:sz w:val="24"/>
      </w:rPr>
      <w:fldChar w:fldCharType="separate"/>
    </w:r>
    <w:r>
      <w:rPr>
        <w:rStyle w:val="23"/>
        <w:sz w:val="24"/>
      </w:rPr>
      <w:t>1</w:t>
    </w:r>
    <w:r>
      <w:rPr>
        <w:rStyle w:val="23"/>
        <w:sz w:val="24"/>
      </w:rPr>
      <w:fldChar w:fldCharType="end"/>
    </w:r>
  </w:p>
  <w:p w14:paraId="32AC2E69">
    <w:pPr>
      <w:pStyle w:val="19"/>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60B5">
    <w:pPr>
      <w:pStyle w:val="20"/>
      <w:pBdr>
        <w:bottom w:val="single" w:color="auto" w:sz="6" w:space="1"/>
      </w:pBdr>
      <w:ind w:right="1274"/>
      <w:rPr>
        <w:rFonts w:ascii="Times New Roman" w:hAnsi="Times New Roman"/>
        <w:sz w:val="22"/>
      </w:rPr>
    </w:pPr>
    <w:r>
      <w:rPr>
        <w:rFonts w:ascii="Times New Roman" w:hAnsi="Times New Roman"/>
        <w:sz w:val="22"/>
      </w:rPr>
      <w:pict>
        <v:shape id="_x0000_s2050" o:spid="_x0000_s2050"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50" DrawAspect="Content" ObjectID="_1468075725" r:id="rId1">
          <o:LockedField>false</o:LockedField>
        </o:OLEObject>
      </w:pict>
    </w:r>
  </w:p>
  <w:p w14:paraId="096C06EE">
    <w:pPr>
      <w:pStyle w:val="20"/>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10527FA7">
    <w:pPr>
      <w:pStyle w:val="20"/>
      <w:rPr>
        <w:rFonts w:ascii="Times New Roman" w:hAnsi="Times New Roman"/>
        <w:i/>
        <w:sz w:val="18"/>
      </w:rPr>
    </w:pPr>
    <w:r>
      <w:rPr>
        <w:rFonts w:ascii="Times New Roman" w:hAnsi="Times New Roman"/>
        <w:i/>
        <w:sz w:val="18"/>
      </w:rPr>
      <w:t>Summary of Product Characteristics</w:t>
    </w:r>
  </w:p>
  <w:p w14:paraId="47F7DD12">
    <w:pPr>
      <w:pStyle w:val="2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F51D6"/>
    <w:multiLevelType w:val="multilevel"/>
    <w:tmpl w:val="14DF51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A1965CE"/>
    <w:multiLevelType w:val="multilevel"/>
    <w:tmpl w:val="1A1965C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840694E"/>
    <w:multiLevelType w:val="multilevel"/>
    <w:tmpl w:val="2840694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6">
    <w:nsid w:val="5CBB2ADD"/>
    <w:multiLevelType w:val="multilevel"/>
    <w:tmpl w:val="5CBB2ADD"/>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0B6DA4"/>
    <w:multiLevelType w:val="multilevel"/>
    <w:tmpl w:val="6E0B6DA4"/>
    <w:lvl w:ilvl="0" w:tentative="0">
      <w:start w:val="4"/>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AD"/>
    <w:rsid w:val="00000F82"/>
    <w:rsid w:val="00002DED"/>
    <w:rsid w:val="00004EC7"/>
    <w:rsid w:val="00021685"/>
    <w:rsid w:val="00023771"/>
    <w:rsid w:val="00026E14"/>
    <w:rsid w:val="000327E9"/>
    <w:rsid w:val="000329F4"/>
    <w:rsid w:val="00043F62"/>
    <w:rsid w:val="00044632"/>
    <w:rsid w:val="000454F0"/>
    <w:rsid w:val="00055427"/>
    <w:rsid w:val="000558A7"/>
    <w:rsid w:val="00061D71"/>
    <w:rsid w:val="00073061"/>
    <w:rsid w:val="000920AE"/>
    <w:rsid w:val="000948A9"/>
    <w:rsid w:val="000964BB"/>
    <w:rsid w:val="000A6739"/>
    <w:rsid w:val="000A6B67"/>
    <w:rsid w:val="000B0797"/>
    <w:rsid w:val="000B3866"/>
    <w:rsid w:val="000C0FE8"/>
    <w:rsid w:val="000D555C"/>
    <w:rsid w:val="000D6D0B"/>
    <w:rsid w:val="000E3F59"/>
    <w:rsid w:val="000E56C7"/>
    <w:rsid w:val="000E5B7C"/>
    <w:rsid w:val="000F551A"/>
    <w:rsid w:val="001124E8"/>
    <w:rsid w:val="00120430"/>
    <w:rsid w:val="001242F9"/>
    <w:rsid w:val="0014279F"/>
    <w:rsid w:val="00144F7E"/>
    <w:rsid w:val="001513C5"/>
    <w:rsid w:val="00152ECD"/>
    <w:rsid w:val="00154366"/>
    <w:rsid w:val="001622D2"/>
    <w:rsid w:val="0016303B"/>
    <w:rsid w:val="00181EC9"/>
    <w:rsid w:val="00183342"/>
    <w:rsid w:val="00187B63"/>
    <w:rsid w:val="001906E7"/>
    <w:rsid w:val="001954F1"/>
    <w:rsid w:val="001A531F"/>
    <w:rsid w:val="001B6482"/>
    <w:rsid w:val="001C42A8"/>
    <w:rsid w:val="001C4D5C"/>
    <w:rsid w:val="001C788F"/>
    <w:rsid w:val="001D0306"/>
    <w:rsid w:val="001D0520"/>
    <w:rsid w:val="001D2215"/>
    <w:rsid w:val="001E0EA3"/>
    <w:rsid w:val="001E6459"/>
    <w:rsid w:val="001F5C18"/>
    <w:rsid w:val="00205474"/>
    <w:rsid w:val="0021707F"/>
    <w:rsid w:val="0022050D"/>
    <w:rsid w:val="00220B23"/>
    <w:rsid w:val="00222A02"/>
    <w:rsid w:val="00225AF3"/>
    <w:rsid w:val="00226DD5"/>
    <w:rsid w:val="00231FEE"/>
    <w:rsid w:val="00232498"/>
    <w:rsid w:val="00250519"/>
    <w:rsid w:val="00254375"/>
    <w:rsid w:val="002560F7"/>
    <w:rsid w:val="0026306D"/>
    <w:rsid w:val="00263C5A"/>
    <w:rsid w:val="00274781"/>
    <w:rsid w:val="00285F4A"/>
    <w:rsid w:val="002A7B4D"/>
    <w:rsid w:val="002B6642"/>
    <w:rsid w:val="002C7CE9"/>
    <w:rsid w:val="002E0C29"/>
    <w:rsid w:val="00302558"/>
    <w:rsid w:val="00312E25"/>
    <w:rsid w:val="00323E62"/>
    <w:rsid w:val="0033153C"/>
    <w:rsid w:val="00340C83"/>
    <w:rsid w:val="00352E43"/>
    <w:rsid w:val="00354653"/>
    <w:rsid w:val="00354D5D"/>
    <w:rsid w:val="003565B9"/>
    <w:rsid w:val="0036434D"/>
    <w:rsid w:val="00366739"/>
    <w:rsid w:val="00371B58"/>
    <w:rsid w:val="00384F23"/>
    <w:rsid w:val="003A2C04"/>
    <w:rsid w:val="003A2F40"/>
    <w:rsid w:val="003B25AD"/>
    <w:rsid w:val="003B36B2"/>
    <w:rsid w:val="003C31F2"/>
    <w:rsid w:val="003D0991"/>
    <w:rsid w:val="003E0420"/>
    <w:rsid w:val="003F00B1"/>
    <w:rsid w:val="003F1EBF"/>
    <w:rsid w:val="003F49DE"/>
    <w:rsid w:val="003F6446"/>
    <w:rsid w:val="004034C4"/>
    <w:rsid w:val="0042685E"/>
    <w:rsid w:val="004271F4"/>
    <w:rsid w:val="00427425"/>
    <w:rsid w:val="00434F6F"/>
    <w:rsid w:val="00437753"/>
    <w:rsid w:val="00443E2E"/>
    <w:rsid w:val="00445908"/>
    <w:rsid w:val="00460B05"/>
    <w:rsid w:val="00466433"/>
    <w:rsid w:val="004664EA"/>
    <w:rsid w:val="00475A2A"/>
    <w:rsid w:val="004773E2"/>
    <w:rsid w:val="00480159"/>
    <w:rsid w:val="00482AEB"/>
    <w:rsid w:val="00490881"/>
    <w:rsid w:val="004A3B82"/>
    <w:rsid w:val="004A418D"/>
    <w:rsid w:val="004A5D6B"/>
    <w:rsid w:val="004B2042"/>
    <w:rsid w:val="004B7842"/>
    <w:rsid w:val="004C11BB"/>
    <w:rsid w:val="004C3F70"/>
    <w:rsid w:val="004D6C21"/>
    <w:rsid w:val="004E2086"/>
    <w:rsid w:val="004E560B"/>
    <w:rsid w:val="004E7D42"/>
    <w:rsid w:val="004F18E1"/>
    <w:rsid w:val="00503D4B"/>
    <w:rsid w:val="005050C3"/>
    <w:rsid w:val="005124B9"/>
    <w:rsid w:val="005132F0"/>
    <w:rsid w:val="0051395A"/>
    <w:rsid w:val="0052458A"/>
    <w:rsid w:val="00532999"/>
    <w:rsid w:val="005442C6"/>
    <w:rsid w:val="0055013C"/>
    <w:rsid w:val="0055113E"/>
    <w:rsid w:val="005515A0"/>
    <w:rsid w:val="00552474"/>
    <w:rsid w:val="00552BCA"/>
    <w:rsid w:val="00557EA5"/>
    <w:rsid w:val="0056227E"/>
    <w:rsid w:val="0056653D"/>
    <w:rsid w:val="005737E8"/>
    <w:rsid w:val="00592C3C"/>
    <w:rsid w:val="00594843"/>
    <w:rsid w:val="005A204D"/>
    <w:rsid w:val="005A3139"/>
    <w:rsid w:val="005B39D0"/>
    <w:rsid w:val="005C7756"/>
    <w:rsid w:val="005D2532"/>
    <w:rsid w:val="005E66F8"/>
    <w:rsid w:val="005F0A3B"/>
    <w:rsid w:val="005F288E"/>
    <w:rsid w:val="005F30B6"/>
    <w:rsid w:val="005F72CA"/>
    <w:rsid w:val="005F7714"/>
    <w:rsid w:val="0060148B"/>
    <w:rsid w:val="00603237"/>
    <w:rsid w:val="00610130"/>
    <w:rsid w:val="006122ED"/>
    <w:rsid w:val="00612419"/>
    <w:rsid w:val="00617AB2"/>
    <w:rsid w:val="00630C57"/>
    <w:rsid w:val="00650388"/>
    <w:rsid w:val="00661A58"/>
    <w:rsid w:val="00665AF4"/>
    <w:rsid w:val="0068518B"/>
    <w:rsid w:val="00693CCB"/>
    <w:rsid w:val="0069521F"/>
    <w:rsid w:val="006955C6"/>
    <w:rsid w:val="00697477"/>
    <w:rsid w:val="006B6D4B"/>
    <w:rsid w:val="006C201F"/>
    <w:rsid w:val="006C4F9B"/>
    <w:rsid w:val="006D3F0C"/>
    <w:rsid w:val="006D5C8F"/>
    <w:rsid w:val="006E14C5"/>
    <w:rsid w:val="006E3865"/>
    <w:rsid w:val="006E5626"/>
    <w:rsid w:val="006E71FC"/>
    <w:rsid w:val="006F279E"/>
    <w:rsid w:val="006F3222"/>
    <w:rsid w:val="006F5160"/>
    <w:rsid w:val="0070369F"/>
    <w:rsid w:val="00710461"/>
    <w:rsid w:val="007163D9"/>
    <w:rsid w:val="00730DA0"/>
    <w:rsid w:val="007354F1"/>
    <w:rsid w:val="00737A9F"/>
    <w:rsid w:val="007468FE"/>
    <w:rsid w:val="007511CD"/>
    <w:rsid w:val="007521FB"/>
    <w:rsid w:val="00753353"/>
    <w:rsid w:val="00754D6C"/>
    <w:rsid w:val="00755CA2"/>
    <w:rsid w:val="007577CF"/>
    <w:rsid w:val="007666BE"/>
    <w:rsid w:val="00767AC6"/>
    <w:rsid w:val="0079183B"/>
    <w:rsid w:val="00791F8A"/>
    <w:rsid w:val="007943B6"/>
    <w:rsid w:val="007949A7"/>
    <w:rsid w:val="007A1B16"/>
    <w:rsid w:val="007B2D68"/>
    <w:rsid w:val="007C48BF"/>
    <w:rsid w:val="007D5EE4"/>
    <w:rsid w:val="007E06AF"/>
    <w:rsid w:val="007E6714"/>
    <w:rsid w:val="007F31C7"/>
    <w:rsid w:val="007F6731"/>
    <w:rsid w:val="007F799D"/>
    <w:rsid w:val="008024CC"/>
    <w:rsid w:val="00802BAD"/>
    <w:rsid w:val="00805A36"/>
    <w:rsid w:val="00840758"/>
    <w:rsid w:val="008431EA"/>
    <w:rsid w:val="00850141"/>
    <w:rsid w:val="0085523E"/>
    <w:rsid w:val="00856B7E"/>
    <w:rsid w:val="008608C7"/>
    <w:rsid w:val="00862FFE"/>
    <w:rsid w:val="0086550C"/>
    <w:rsid w:val="008725FC"/>
    <w:rsid w:val="00875ED3"/>
    <w:rsid w:val="00877A87"/>
    <w:rsid w:val="00884CCF"/>
    <w:rsid w:val="008A0051"/>
    <w:rsid w:val="008A77DD"/>
    <w:rsid w:val="008B45A5"/>
    <w:rsid w:val="008C2B5E"/>
    <w:rsid w:val="008C5A82"/>
    <w:rsid w:val="008D4728"/>
    <w:rsid w:val="008F5D20"/>
    <w:rsid w:val="008F7E92"/>
    <w:rsid w:val="009018E5"/>
    <w:rsid w:val="00902A38"/>
    <w:rsid w:val="00924915"/>
    <w:rsid w:val="00932CE2"/>
    <w:rsid w:val="0093300D"/>
    <w:rsid w:val="00933F3F"/>
    <w:rsid w:val="00937AF0"/>
    <w:rsid w:val="009520E4"/>
    <w:rsid w:val="00954A7B"/>
    <w:rsid w:val="00957BE4"/>
    <w:rsid w:val="00960BCD"/>
    <w:rsid w:val="009622E3"/>
    <w:rsid w:val="009624F3"/>
    <w:rsid w:val="00962A13"/>
    <w:rsid w:val="00965888"/>
    <w:rsid w:val="009677D5"/>
    <w:rsid w:val="0097396B"/>
    <w:rsid w:val="009870E0"/>
    <w:rsid w:val="00990B65"/>
    <w:rsid w:val="009915B9"/>
    <w:rsid w:val="00997BF4"/>
    <w:rsid w:val="009A50A0"/>
    <w:rsid w:val="009A6FC9"/>
    <w:rsid w:val="009B27D8"/>
    <w:rsid w:val="009D09FD"/>
    <w:rsid w:val="009D76BA"/>
    <w:rsid w:val="009E2C3B"/>
    <w:rsid w:val="00A017F0"/>
    <w:rsid w:val="00A12ADC"/>
    <w:rsid w:val="00A2181C"/>
    <w:rsid w:val="00A40DC6"/>
    <w:rsid w:val="00A42229"/>
    <w:rsid w:val="00A55E85"/>
    <w:rsid w:val="00A61497"/>
    <w:rsid w:val="00A74B83"/>
    <w:rsid w:val="00A81E35"/>
    <w:rsid w:val="00A95D9F"/>
    <w:rsid w:val="00AA03FC"/>
    <w:rsid w:val="00AA1DCC"/>
    <w:rsid w:val="00AC4F03"/>
    <w:rsid w:val="00AC70BC"/>
    <w:rsid w:val="00AC73C3"/>
    <w:rsid w:val="00AD5EFA"/>
    <w:rsid w:val="00AE31C9"/>
    <w:rsid w:val="00AE3AF4"/>
    <w:rsid w:val="00AE4E2D"/>
    <w:rsid w:val="00AF1425"/>
    <w:rsid w:val="00AF21DE"/>
    <w:rsid w:val="00B0181B"/>
    <w:rsid w:val="00B11D73"/>
    <w:rsid w:val="00B13499"/>
    <w:rsid w:val="00B15F64"/>
    <w:rsid w:val="00B2088A"/>
    <w:rsid w:val="00B20DD1"/>
    <w:rsid w:val="00B22877"/>
    <w:rsid w:val="00B32F25"/>
    <w:rsid w:val="00B338DF"/>
    <w:rsid w:val="00B375A9"/>
    <w:rsid w:val="00B53C25"/>
    <w:rsid w:val="00B53C35"/>
    <w:rsid w:val="00B558AA"/>
    <w:rsid w:val="00B66796"/>
    <w:rsid w:val="00B7529E"/>
    <w:rsid w:val="00B800F6"/>
    <w:rsid w:val="00B81DDF"/>
    <w:rsid w:val="00B83B1D"/>
    <w:rsid w:val="00B85154"/>
    <w:rsid w:val="00B86A58"/>
    <w:rsid w:val="00B90576"/>
    <w:rsid w:val="00B95802"/>
    <w:rsid w:val="00B97496"/>
    <w:rsid w:val="00BA0100"/>
    <w:rsid w:val="00BA674E"/>
    <w:rsid w:val="00BB2F3D"/>
    <w:rsid w:val="00BC2F1A"/>
    <w:rsid w:val="00BC6FBB"/>
    <w:rsid w:val="00BC7F36"/>
    <w:rsid w:val="00BF71D5"/>
    <w:rsid w:val="00C13510"/>
    <w:rsid w:val="00C170FD"/>
    <w:rsid w:val="00C2098A"/>
    <w:rsid w:val="00C479F2"/>
    <w:rsid w:val="00C50479"/>
    <w:rsid w:val="00C5782E"/>
    <w:rsid w:val="00C60E30"/>
    <w:rsid w:val="00C74B6D"/>
    <w:rsid w:val="00C76730"/>
    <w:rsid w:val="00C844C8"/>
    <w:rsid w:val="00C957DA"/>
    <w:rsid w:val="00C96A80"/>
    <w:rsid w:val="00CA3C72"/>
    <w:rsid w:val="00CA4E24"/>
    <w:rsid w:val="00CB5072"/>
    <w:rsid w:val="00CC423E"/>
    <w:rsid w:val="00CE40CD"/>
    <w:rsid w:val="00D22E2B"/>
    <w:rsid w:val="00D26EDD"/>
    <w:rsid w:val="00D36336"/>
    <w:rsid w:val="00D43A01"/>
    <w:rsid w:val="00D47F8A"/>
    <w:rsid w:val="00D5555F"/>
    <w:rsid w:val="00D655CA"/>
    <w:rsid w:val="00D71C51"/>
    <w:rsid w:val="00D91131"/>
    <w:rsid w:val="00D93789"/>
    <w:rsid w:val="00D938A0"/>
    <w:rsid w:val="00D96C3D"/>
    <w:rsid w:val="00DA62BB"/>
    <w:rsid w:val="00DA6B2B"/>
    <w:rsid w:val="00DB1747"/>
    <w:rsid w:val="00DC26F8"/>
    <w:rsid w:val="00DC2E00"/>
    <w:rsid w:val="00DD46D9"/>
    <w:rsid w:val="00DD4A5E"/>
    <w:rsid w:val="00DE0242"/>
    <w:rsid w:val="00DE0DDF"/>
    <w:rsid w:val="00DE643D"/>
    <w:rsid w:val="00DF3C48"/>
    <w:rsid w:val="00DF3FAC"/>
    <w:rsid w:val="00DF43BE"/>
    <w:rsid w:val="00E0195A"/>
    <w:rsid w:val="00E0205D"/>
    <w:rsid w:val="00E14BB5"/>
    <w:rsid w:val="00E202FC"/>
    <w:rsid w:val="00E2117D"/>
    <w:rsid w:val="00E22F13"/>
    <w:rsid w:val="00E332D3"/>
    <w:rsid w:val="00E40775"/>
    <w:rsid w:val="00E421C0"/>
    <w:rsid w:val="00E42C0D"/>
    <w:rsid w:val="00E553DF"/>
    <w:rsid w:val="00E6010F"/>
    <w:rsid w:val="00E84AF4"/>
    <w:rsid w:val="00E8708E"/>
    <w:rsid w:val="00E950F0"/>
    <w:rsid w:val="00EA7478"/>
    <w:rsid w:val="00EB67B1"/>
    <w:rsid w:val="00EB72D1"/>
    <w:rsid w:val="00EC5FDF"/>
    <w:rsid w:val="00ED1C76"/>
    <w:rsid w:val="00ED3456"/>
    <w:rsid w:val="00ED7AA4"/>
    <w:rsid w:val="00EE1D6A"/>
    <w:rsid w:val="00EE3FC4"/>
    <w:rsid w:val="00EE703D"/>
    <w:rsid w:val="00EF2767"/>
    <w:rsid w:val="00EF6FBC"/>
    <w:rsid w:val="00F04253"/>
    <w:rsid w:val="00F04767"/>
    <w:rsid w:val="00F141E3"/>
    <w:rsid w:val="00F243CD"/>
    <w:rsid w:val="00F350AC"/>
    <w:rsid w:val="00F45816"/>
    <w:rsid w:val="00F5247F"/>
    <w:rsid w:val="00F53C47"/>
    <w:rsid w:val="00F54303"/>
    <w:rsid w:val="00F90F07"/>
    <w:rsid w:val="00F96332"/>
    <w:rsid w:val="00FB46E9"/>
    <w:rsid w:val="00FB6961"/>
    <w:rsid w:val="00FC5FC9"/>
    <w:rsid w:val="00FC7369"/>
    <w:rsid w:val="00FD4E98"/>
    <w:rsid w:val="2B4C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paragraph" w:styleId="3">
    <w:name w:val="heading 3"/>
    <w:basedOn w:val="1"/>
    <w:next w:val="1"/>
    <w:qFormat/>
    <w:uiPriority w:val="0"/>
    <w:pPr>
      <w:keepNext/>
      <w:widowControl/>
      <w:spacing w:before="240" w:after="60"/>
      <w:outlineLvl w:val="2"/>
    </w:pPr>
    <w:rPr>
      <w:rFonts w:ascii="Arial" w:hAnsi="Arial" w:cs="Arial"/>
      <w:b/>
      <w:bCs/>
      <w:sz w:val="26"/>
      <w:szCs w:val="26"/>
    </w:rPr>
  </w:style>
  <w:style w:type="paragraph" w:styleId="4">
    <w:name w:val="heading 7"/>
    <w:basedOn w:val="1"/>
    <w:next w:val="1"/>
    <w:qFormat/>
    <w:uiPriority w:val="0"/>
    <w:pPr>
      <w:widowControl/>
      <w:spacing w:before="240" w:after="60"/>
      <w:outlineLvl w:val="6"/>
    </w:pPr>
    <w:rPr>
      <w:rFonts w:ascii="Times New Roman" w:hAnsi="Times New Roman"/>
      <w:szCs w:val="24"/>
    </w:rPr>
  </w:style>
  <w:style w:type="paragraph" w:styleId="5">
    <w:name w:val="heading 8"/>
    <w:basedOn w:val="1"/>
    <w:next w:val="1"/>
    <w:qFormat/>
    <w:uiPriority w:val="0"/>
    <w:pPr>
      <w:widowControl/>
      <w:spacing w:before="240" w:after="60"/>
      <w:outlineLvl w:val="7"/>
    </w:pPr>
    <w:rPr>
      <w:rFonts w:ascii="Times New Roman" w:hAnsi="Times New Roman"/>
      <w:i/>
      <w:iCs/>
      <w:szCs w:val="24"/>
    </w:rPr>
  </w:style>
  <w:style w:type="paragraph" w:styleId="6">
    <w:name w:val="heading 9"/>
    <w:basedOn w:val="1"/>
    <w:next w:val="1"/>
    <w:qFormat/>
    <w:uiPriority w:val="0"/>
    <w:pPr>
      <w:widowControl/>
      <w:spacing w:before="240" w:after="60"/>
      <w:outlineLvl w:val="8"/>
    </w:pPr>
    <w:rPr>
      <w:rFonts w:ascii="Arial" w:hAnsi="Arial" w:cs="Arial"/>
      <w:sz w:val="22"/>
      <w:szCs w:val="22"/>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jc w:val="both"/>
    </w:pPr>
    <w:rPr>
      <w:rFonts w:ascii="Arial" w:hAnsi="Arial"/>
      <w:position w:val="-6"/>
    </w:rPr>
  </w:style>
  <w:style w:type="paragraph" w:styleId="11">
    <w:name w:val="Body Text 2"/>
    <w:basedOn w:val="1"/>
    <w:qFormat/>
    <w:uiPriority w:val="0"/>
    <w:pPr>
      <w:jc w:val="both"/>
    </w:pPr>
    <w:rPr>
      <w:rFonts w:ascii="Arial" w:hAnsi="Arial"/>
      <w:i/>
      <w:position w:val="-6"/>
      <w:sz w:val="22"/>
    </w:rPr>
  </w:style>
  <w:style w:type="paragraph" w:styleId="12">
    <w:name w:val="Body Text 3"/>
    <w:basedOn w:val="1"/>
    <w:qFormat/>
    <w:uiPriority w:val="0"/>
    <w:pPr>
      <w:spacing w:before="120" w:after="120"/>
    </w:pPr>
    <w:rPr>
      <w:rFonts w:ascii="Times New Roman" w:hAnsi="Times New Roman"/>
      <w:sz w:val="22"/>
    </w:rPr>
  </w:style>
  <w:style w:type="paragraph" w:styleId="13">
    <w:name w:val="Body Text Indent"/>
    <w:basedOn w:val="1"/>
    <w:uiPriority w:val="0"/>
    <w:pPr>
      <w:ind w:left="720"/>
      <w:jc w:val="both"/>
    </w:pPr>
    <w:rPr>
      <w:rFonts w:ascii="Arial" w:hAnsi="Arial"/>
    </w:rPr>
  </w:style>
  <w:style w:type="paragraph" w:styleId="14">
    <w:name w:val="Body Text Indent 2"/>
    <w:basedOn w:val="1"/>
    <w:uiPriority w:val="0"/>
    <w:pPr>
      <w:ind w:left="720"/>
      <w:jc w:val="both"/>
    </w:pPr>
    <w:rPr>
      <w:rFonts w:ascii="Arial" w:hAnsi="Arial"/>
      <w:b/>
    </w:rPr>
  </w:style>
  <w:style w:type="paragraph" w:styleId="15">
    <w:name w:val="Body Text Indent 3"/>
    <w:basedOn w:val="1"/>
    <w:uiPriority w:val="0"/>
    <w:pPr>
      <w:ind w:firstLine="709"/>
      <w:jc w:val="both"/>
    </w:pPr>
    <w:rPr>
      <w:rFonts w:ascii="Arial" w:hAnsi="Arial"/>
      <w:sz w:val="22"/>
    </w:rPr>
  </w:style>
  <w:style w:type="character" w:styleId="16">
    <w:name w:val="annotation reference"/>
    <w:qFormat/>
    <w:uiPriority w:val="0"/>
    <w:rPr>
      <w:sz w:val="16"/>
      <w:szCs w:val="16"/>
    </w:rPr>
  </w:style>
  <w:style w:type="paragraph" w:styleId="17">
    <w:name w:val="annotation text"/>
    <w:basedOn w:val="1"/>
    <w:link w:val="35"/>
    <w:qFormat/>
    <w:uiPriority w:val="0"/>
    <w:rPr>
      <w:sz w:val="20"/>
    </w:rPr>
  </w:style>
  <w:style w:type="paragraph" w:styleId="18">
    <w:name w:val="annotation subject"/>
    <w:basedOn w:val="17"/>
    <w:next w:val="17"/>
    <w:link w:val="36"/>
    <w:qFormat/>
    <w:uiPriority w:val="0"/>
    <w:rPr>
      <w:b/>
      <w:bCs/>
    </w:rPr>
  </w:style>
  <w:style w:type="paragraph" w:styleId="19">
    <w:name w:val="footer"/>
    <w:basedOn w:val="1"/>
    <w:link w:val="45"/>
    <w:qFormat/>
    <w:uiPriority w:val="99"/>
    <w:pPr>
      <w:tabs>
        <w:tab w:val="center" w:pos="4320"/>
        <w:tab w:val="right" w:pos="8640"/>
      </w:tabs>
    </w:pPr>
  </w:style>
  <w:style w:type="paragraph" w:styleId="20">
    <w:name w:val="header"/>
    <w:basedOn w:val="1"/>
    <w:link w:val="29"/>
    <w:uiPriority w:val="0"/>
    <w:pPr>
      <w:tabs>
        <w:tab w:val="center" w:pos="4320"/>
        <w:tab w:val="right" w:pos="8640"/>
      </w:tabs>
    </w:pPr>
  </w:style>
  <w:style w:type="character" w:styleId="21">
    <w:name w:val="Hyperlink"/>
    <w:qFormat/>
    <w:uiPriority w:val="0"/>
    <w:rPr>
      <w:color w:val="0000FF"/>
      <w:u w:val="single"/>
    </w:rPr>
  </w:style>
  <w:style w:type="paragraph" w:styleId="22">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23">
    <w:name w:val="page number"/>
    <w:qFormat/>
    <w:uiPriority w:val="0"/>
    <w:rPr>
      <w:sz w:val="20"/>
    </w:rPr>
  </w:style>
  <w:style w:type="table" w:styleId="24">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27"/>
    <w:qFormat/>
    <w:uiPriority w:val="0"/>
    <w:pPr>
      <w:jc w:val="center"/>
    </w:pPr>
    <w:rPr>
      <w:rFonts w:ascii="Arial" w:hAnsi="Arial"/>
      <w:b/>
      <w:position w:val="-6"/>
    </w:rPr>
  </w:style>
  <w:style w:type="character" w:customStyle="1" w:styleId="26">
    <w:name w:val="mw-headline"/>
    <w:basedOn w:val="7"/>
    <w:qFormat/>
    <w:uiPriority w:val="0"/>
  </w:style>
  <w:style w:type="character" w:customStyle="1" w:styleId="27">
    <w:name w:val="Title Char1"/>
    <w:link w:val="25"/>
    <w:qFormat/>
    <w:locked/>
    <w:uiPriority w:val="0"/>
    <w:rPr>
      <w:rFonts w:ascii="Arial" w:hAnsi="Arial"/>
      <w:b/>
      <w:position w:val="-6"/>
      <w:sz w:val="24"/>
      <w:lang w:val="en-US" w:eastAsia="en-US" w:bidi="ar-SA"/>
    </w:rPr>
  </w:style>
  <w:style w:type="paragraph" w:customStyle="1" w:styleId="28">
    <w:name w:val="_Style 23"/>
    <w:basedOn w:val="1"/>
    <w:qFormat/>
    <w:uiPriority w:val="0"/>
    <w:pPr>
      <w:widowControl/>
      <w:spacing w:after="160" w:line="240" w:lineRule="exact"/>
    </w:pPr>
    <w:rPr>
      <w:rFonts w:ascii="Tahoma" w:hAnsi="Tahoma"/>
      <w:sz w:val="20"/>
    </w:rPr>
  </w:style>
  <w:style w:type="character" w:customStyle="1" w:styleId="29">
    <w:name w:val="Header Char1"/>
    <w:link w:val="20"/>
    <w:semiHidden/>
    <w:qFormat/>
    <w:locked/>
    <w:uiPriority w:val="0"/>
    <w:rPr>
      <w:rFonts w:ascii="MAC C Swiss" w:hAnsi="MAC C Swiss"/>
      <w:sz w:val="24"/>
      <w:lang w:val="en-US" w:eastAsia="en-US" w:bidi="ar-SA"/>
    </w:rPr>
  </w:style>
  <w:style w:type="character" w:customStyle="1" w:styleId="30">
    <w:name w:val="long_text"/>
    <w:basedOn w:val="7"/>
    <w:qFormat/>
    <w:uiPriority w:val="0"/>
  </w:style>
  <w:style w:type="character" w:customStyle="1" w:styleId="31">
    <w:name w:val="hps"/>
    <w:basedOn w:val="7"/>
    <w:qFormat/>
    <w:uiPriority w:val="0"/>
  </w:style>
  <w:style w:type="character" w:customStyle="1" w:styleId="32">
    <w:name w:val="atn"/>
    <w:basedOn w:val="7"/>
    <w:qFormat/>
    <w:uiPriority w:val="0"/>
  </w:style>
  <w:style w:type="character" w:customStyle="1" w:styleId="33">
    <w:name w:val="hps atn"/>
    <w:basedOn w:val="7"/>
    <w:qFormat/>
    <w:uiPriority w:val="0"/>
  </w:style>
  <w:style w:type="paragraph" w:customStyle="1" w:styleId="34">
    <w:name w:val="ammcorpstexte"/>
    <w:basedOn w:val="1"/>
    <w:qFormat/>
    <w:uiPriority w:val="0"/>
    <w:pPr>
      <w:widowControl/>
    </w:pPr>
    <w:rPr>
      <w:rFonts w:ascii="Arial" w:hAnsi="Arial" w:cs="Arial"/>
      <w:color w:val="000000"/>
      <w:szCs w:val="24"/>
      <w:lang w:val="en-GB" w:eastAsia="en-GB"/>
    </w:rPr>
  </w:style>
  <w:style w:type="character" w:customStyle="1" w:styleId="35">
    <w:name w:val="Comment Text Char1"/>
    <w:link w:val="17"/>
    <w:qFormat/>
    <w:uiPriority w:val="0"/>
    <w:rPr>
      <w:rFonts w:ascii="MAC C Swiss" w:hAnsi="MAC C Swiss"/>
      <w:lang w:val="en-US" w:eastAsia="en-US"/>
    </w:rPr>
  </w:style>
  <w:style w:type="character" w:customStyle="1" w:styleId="36">
    <w:name w:val="Comment Subject Char"/>
    <w:link w:val="18"/>
    <w:qFormat/>
    <w:uiPriority w:val="0"/>
    <w:rPr>
      <w:rFonts w:ascii="MAC C Swiss" w:hAnsi="MAC C Swiss"/>
      <w:b/>
      <w:bCs/>
      <w:lang w:val="en-US" w:eastAsia="en-US"/>
    </w:rPr>
  </w:style>
  <w:style w:type="character" w:customStyle="1" w:styleId="37">
    <w:name w:val="long_text short_text"/>
    <w:basedOn w:val="7"/>
    <w:qFormat/>
    <w:uiPriority w:val="0"/>
  </w:style>
  <w:style w:type="paragraph" w:customStyle="1" w:styleId="38">
    <w:name w:val="Char Char Char Char Char Char"/>
    <w:basedOn w:val="1"/>
    <w:qFormat/>
    <w:uiPriority w:val="0"/>
    <w:pPr>
      <w:widowControl/>
      <w:spacing w:after="160" w:line="240" w:lineRule="exact"/>
    </w:pPr>
    <w:rPr>
      <w:rFonts w:ascii="Tahoma" w:hAnsi="Tahoma"/>
      <w:sz w:val="20"/>
    </w:rPr>
  </w:style>
  <w:style w:type="character" w:customStyle="1" w:styleId="39">
    <w:name w:val="Header Char"/>
    <w:semiHidden/>
    <w:qFormat/>
    <w:locked/>
    <w:uiPriority w:val="0"/>
    <w:rPr>
      <w:rFonts w:ascii="MAC C Swiss" w:hAnsi="MAC C Swiss"/>
      <w:sz w:val="24"/>
      <w:lang w:val="en-GB" w:eastAsia="en-GB" w:bidi="ar-SA"/>
    </w:rPr>
  </w:style>
  <w:style w:type="paragraph" w:customStyle="1" w:styleId="40">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1">
    <w:name w:val="Comment Text Char"/>
    <w:qFormat/>
    <w:locked/>
    <w:uiPriority w:val="0"/>
    <w:rPr>
      <w:lang w:val="en-US" w:eastAsia="en-GB" w:bidi="ar-SA"/>
    </w:rPr>
  </w:style>
  <w:style w:type="paragraph" w:customStyle="1" w:styleId="42">
    <w:name w:val="Char Char Char Char Char Char1"/>
    <w:basedOn w:val="1"/>
    <w:qFormat/>
    <w:uiPriority w:val="0"/>
    <w:pPr>
      <w:widowControl/>
      <w:spacing w:after="160" w:line="240" w:lineRule="exact"/>
    </w:pPr>
    <w:rPr>
      <w:rFonts w:ascii="Tahoma" w:hAnsi="Tahoma" w:cs="Tahoma"/>
      <w:sz w:val="20"/>
    </w:rPr>
  </w:style>
  <w:style w:type="paragraph" w:styleId="43">
    <w:name w:val="No Spacing"/>
    <w:qFormat/>
    <w:uiPriority w:val="0"/>
    <w:rPr>
      <w:rFonts w:ascii="Calibri" w:hAnsi="Calibri" w:eastAsia="Times New Roman" w:cs="Times New Roman"/>
      <w:sz w:val="22"/>
      <w:szCs w:val="22"/>
      <w:lang w:val="en-US" w:eastAsia="en-US" w:bidi="ar-SA"/>
    </w:rPr>
  </w:style>
  <w:style w:type="character" w:customStyle="1" w:styleId="44">
    <w:name w:val="Title Char"/>
    <w:qFormat/>
    <w:locked/>
    <w:uiPriority w:val="0"/>
    <w:rPr>
      <w:rFonts w:ascii="MAC C Times" w:hAnsi="MAC C Times"/>
      <w:b/>
      <w:bCs/>
      <w:sz w:val="28"/>
      <w:szCs w:val="28"/>
      <w:lang w:val="en-US" w:eastAsia="en-US" w:bidi="ar-SA"/>
    </w:rPr>
  </w:style>
  <w:style w:type="character" w:customStyle="1" w:styleId="45">
    <w:name w:val="Footer Char"/>
    <w:link w:val="19"/>
    <w:qFormat/>
    <w:uiPriority w:val="99"/>
    <w:rPr>
      <w:rFonts w:ascii="MAC C Swiss" w:hAnsi="MAC C Swiss"/>
      <w:sz w:val="24"/>
      <w:lang w:val="en-US" w:eastAsia="en-US"/>
    </w:rPr>
  </w:style>
  <w:style w:type="paragraph" w:customStyle="1" w:styleId="46">
    <w:name w:val="SPC_normal"/>
    <w:link w:val="47"/>
    <w:qFormat/>
    <w:uiPriority w:val="0"/>
    <w:rPr>
      <w:rFonts w:ascii="Times New Roman" w:hAnsi="Times New Roman" w:eastAsia="Times New Roman" w:cs="Times New Roman"/>
      <w:sz w:val="22"/>
      <w:lang w:val="en-GB" w:eastAsia="sv-SE" w:bidi="ar-SA"/>
    </w:rPr>
  </w:style>
  <w:style w:type="character" w:customStyle="1" w:styleId="47">
    <w:name w:val="SPC_normal Car"/>
    <w:link w:val="46"/>
    <w:qFormat/>
    <w:uiPriority w:val="0"/>
    <w:rPr>
      <w:sz w:val="22"/>
      <w:lang w:val="en-GB" w:eastAsia="sv-SE"/>
    </w:rPr>
  </w:style>
  <w:style w:type="paragraph" w:customStyle="1" w:styleId="48">
    <w:name w:val="Revision"/>
    <w:hidden/>
    <w:semiHidden/>
    <w:qFormat/>
    <w:uiPriority w:val="99"/>
    <w:rPr>
      <w:rFonts w:ascii="MAC C Swiss" w:hAnsi="MAC C Swiss" w:eastAsia="Times New Roman" w:cs="Times New Roman"/>
      <w:sz w:val="24"/>
      <w:lang w:val="en-US" w:eastAsia="en-US" w:bidi="ar-SA"/>
    </w:rPr>
  </w:style>
  <w:style w:type="character" w:customStyle="1" w:styleId="49">
    <w:name w:val="tlid-translatio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C8BF7-10F4-4FD1-B14F-456EB8B1535D}">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10</Pages>
  <Words>4119</Words>
  <Characters>23481</Characters>
  <Lines>195</Lines>
  <Paragraphs>55</Paragraphs>
  <TotalTime>18</TotalTime>
  <ScaleCrop>false</ScaleCrop>
  <LinksUpToDate>false</LinksUpToDate>
  <CharactersWithSpaces>27545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2018-12-07T12:31:00Z</dcterms:created>
  <dc:creator>Natasa</dc:creator>
  <cp:lastModifiedBy>Haris</cp:lastModifiedBy>
  <cp:lastPrinted>2009-03-31T09:27:00Z</cp:lastPrinted>
  <dcterms:modified xsi:type="dcterms:W3CDTF">2025-02-21T14:38:02Z</dcterms:modified>
  <dc:title>Summary of Product Characteristics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F3BCC6B634DC4C86848C846DA5F778E3_13</vt:lpwstr>
  </property>
</Properties>
</file>