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3DCEB">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614EEEF9">
      <w:pPr>
        <w:rPr>
          <w:rFonts w:ascii="Microsoft Sans Serif" w:hAnsi="Microsoft Sans Serif" w:cs="Microsoft Sans Serif"/>
          <w:b/>
          <w:bCs/>
          <w:sz w:val="20"/>
          <w:szCs w:val="20"/>
          <w:lang w:val="mk-MK"/>
        </w:rPr>
      </w:pPr>
    </w:p>
    <w:p w14:paraId="2C32AADD">
      <w:pPr>
        <w:rPr>
          <w:rFonts w:ascii="Microsoft Sans Serif" w:hAnsi="Microsoft Sans Serif" w:cs="Microsoft Sans Serif"/>
          <w:b/>
          <w:bCs/>
          <w:sz w:val="20"/>
          <w:szCs w:val="20"/>
          <w:lang w:val="mk-MK"/>
        </w:rPr>
      </w:pPr>
    </w:p>
    <w:p w14:paraId="2ED1A30C">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1. NAZIV GOTOVOG LIJEKA</w:t>
      </w:r>
    </w:p>
    <w:p w14:paraId="3B68D721">
      <w:pPr>
        <w:autoSpaceDE w:val="0"/>
        <w:autoSpaceDN w:val="0"/>
        <w:adjustRightInd w:val="0"/>
        <w:rPr>
          <w:rFonts w:ascii="Microsoft Sans Serif" w:hAnsi="Microsoft Sans Serif" w:cs="Microsoft Sans Serif"/>
          <w:sz w:val="20"/>
          <w:szCs w:val="20"/>
          <w:lang w:val="sv-SE"/>
        </w:rPr>
      </w:pPr>
    </w:p>
    <w:p w14:paraId="2C7DA25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BlokMAX Duo </w:t>
      </w:r>
    </w:p>
    <w:p w14:paraId="1D1CB66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200 mg/500 mg, </w:t>
      </w:r>
    </w:p>
    <w:p w14:paraId="4011E9A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tablete</w:t>
      </w:r>
    </w:p>
    <w:p w14:paraId="15ED052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Latn-RS"/>
        </w:rPr>
        <w:t>ibuprofen</w:t>
      </w:r>
      <w:r>
        <w:rPr>
          <w:rFonts w:ascii="Microsoft Sans Serif" w:hAnsi="Microsoft Sans Serif" w:cs="Microsoft Sans Serif"/>
          <w:i/>
          <w:sz w:val="20"/>
          <w:szCs w:val="20"/>
          <w:lang w:val="sv-SE"/>
        </w:rPr>
        <w:t>/</w:t>
      </w:r>
      <w:r>
        <w:rPr>
          <w:rFonts w:ascii="Microsoft Sans Serif" w:hAnsi="Microsoft Sans Serif" w:cs="Microsoft Sans Serif"/>
          <w:i/>
          <w:sz w:val="20"/>
          <w:szCs w:val="20"/>
          <w:lang w:val="sr-Latn-RS"/>
        </w:rPr>
        <w:t>paracetamol</w:t>
      </w:r>
    </w:p>
    <w:p w14:paraId="40EC4572">
      <w:pPr>
        <w:rPr>
          <w:rFonts w:ascii="Microsoft Sans Serif" w:hAnsi="Microsoft Sans Serif" w:cs="Microsoft Sans Serif"/>
          <w:b/>
          <w:bCs/>
          <w:sz w:val="20"/>
          <w:szCs w:val="20"/>
          <w:lang w:val="sv-SE"/>
        </w:rPr>
      </w:pPr>
    </w:p>
    <w:p w14:paraId="433105CC">
      <w:pPr>
        <w:rPr>
          <w:rFonts w:ascii="Microsoft Sans Serif" w:hAnsi="Microsoft Sans Serif" w:cs="Microsoft Sans Serif"/>
          <w:b/>
          <w:bCs/>
          <w:sz w:val="20"/>
          <w:szCs w:val="20"/>
          <w:lang w:val="sv-SE"/>
        </w:rPr>
      </w:pPr>
    </w:p>
    <w:p w14:paraId="4AB845B7">
      <w:pPr>
        <w:pStyle w:val="21"/>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1A5758D2">
      <w:pPr>
        <w:autoSpaceDE w:val="0"/>
        <w:autoSpaceDN w:val="0"/>
        <w:adjustRightInd w:val="0"/>
        <w:rPr>
          <w:rFonts w:ascii="Microsoft Sans Serif" w:hAnsi="Microsoft Sans Serif" w:cs="Microsoft Sans Serif"/>
          <w:sz w:val="20"/>
          <w:szCs w:val="20"/>
          <w:lang w:val="sv-SE"/>
        </w:rPr>
      </w:pPr>
    </w:p>
    <w:p w14:paraId="23F733E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Jedna film tableta sadrži 200 mg ibuprofena i </w:t>
      </w:r>
      <w:r>
        <w:rPr>
          <w:rFonts w:ascii="Microsoft Sans Serif" w:hAnsi="Microsoft Sans Serif" w:cs="Microsoft Sans Serif"/>
          <w:sz w:val="20"/>
          <w:szCs w:val="20"/>
          <w:lang w:val="sr-Latn-RS"/>
        </w:rPr>
        <w:t>500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 xml:space="preserve"> paracetamola.</w:t>
      </w:r>
    </w:p>
    <w:p w14:paraId="5D8DEC12">
      <w:pPr>
        <w:autoSpaceDE w:val="0"/>
        <w:autoSpaceDN w:val="0"/>
        <w:adjustRightInd w:val="0"/>
        <w:rPr>
          <w:rFonts w:ascii="Microsoft Sans Serif" w:hAnsi="Microsoft Sans Serif" w:cs="Microsoft Sans Serif"/>
          <w:sz w:val="20"/>
          <w:szCs w:val="20"/>
          <w:lang w:val="sv-SE"/>
        </w:rPr>
      </w:pPr>
    </w:p>
    <w:p w14:paraId="28A64442">
      <w:pPr>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Za listu </w:t>
      </w:r>
      <w:r>
        <w:rPr>
          <w:rFonts w:ascii="Microsoft Sans Serif" w:hAnsi="Microsoft Sans Serif" w:cs="Microsoft Sans Serif"/>
          <w:sz w:val="20"/>
          <w:szCs w:val="20"/>
          <w:lang w:val="mk-MK"/>
        </w:rPr>
        <w:t xml:space="preserve">svih </w:t>
      </w:r>
      <w:r>
        <w:rPr>
          <w:rFonts w:ascii="Microsoft Sans Serif" w:hAnsi="Microsoft Sans Serif" w:cs="Microsoft Sans Serif"/>
          <w:sz w:val="20"/>
          <w:szCs w:val="20"/>
          <w:lang w:val="sv-SE"/>
        </w:rPr>
        <w:t>pomoćnih supstanci pogledati dio 6.1.</w:t>
      </w:r>
    </w:p>
    <w:p w14:paraId="0D956A07">
      <w:pPr>
        <w:rPr>
          <w:rFonts w:ascii="Microsoft Sans Serif" w:hAnsi="Microsoft Sans Serif" w:cs="Microsoft Sans Serif"/>
          <w:b/>
          <w:sz w:val="20"/>
          <w:szCs w:val="20"/>
          <w:lang w:val="mk-MK"/>
        </w:rPr>
      </w:pPr>
    </w:p>
    <w:p w14:paraId="48F3C27A">
      <w:pPr>
        <w:rPr>
          <w:rFonts w:ascii="Microsoft Sans Serif" w:hAnsi="Microsoft Sans Serif" w:cs="Microsoft Sans Serif"/>
          <w:b/>
          <w:sz w:val="20"/>
          <w:szCs w:val="20"/>
          <w:lang w:val="mk-MK"/>
        </w:rPr>
      </w:pPr>
    </w:p>
    <w:p w14:paraId="38113E0C">
      <w:p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3. FARMACEUTSKI OBLIK</w:t>
      </w:r>
    </w:p>
    <w:p w14:paraId="08863259">
      <w:pPr>
        <w:autoSpaceDE w:val="0"/>
        <w:autoSpaceDN w:val="0"/>
        <w:adjustRightInd w:val="0"/>
        <w:rPr>
          <w:rFonts w:ascii="Microsoft Sans Serif" w:hAnsi="Microsoft Sans Serif" w:cs="Microsoft Sans Serif"/>
          <w:iCs/>
          <w:sz w:val="20"/>
          <w:szCs w:val="20"/>
          <w:lang w:val="sr-Cyrl-RS"/>
        </w:rPr>
      </w:pPr>
    </w:p>
    <w:p w14:paraId="1F462799">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Film tablete</w:t>
      </w:r>
      <w:r>
        <w:rPr>
          <w:rFonts w:ascii="Microsoft Sans Serif" w:hAnsi="Microsoft Sans Serif" w:cs="Microsoft Sans Serif"/>
          <w:sz w:val="20"/>
          <w:szCs w:val="20"/>
          <w:lang w:val="mk-MK"/>
        </w:rPr>
        <w:t>.</w:t>
      </w:r>
    </w:p>
    <w:p w14:paraId="6169D2F3">
      <w:pPr>
        <w:rPr>
          <w:rFonts w:ascii="Microsoft Sans Serif" w:hAnsi="Microsoft Sans Serif" w:cs="Microsoft Sans Serif"/>
          <w:sz w:val="20"/>
          <w:szCs w:val="20"/>
          <w:lang w:val="sr-Cyrl-RS"/>
        </w:rPr>
      </w:pPr>
    </w:p>
    <w:p w14:paraId="33CEA13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ele, izdužene, bikonveksne film tablete sa dvostrukim </w:t>
      </w:r>
      <w:r>
        <w:rPr>
          <w:rFonts w:ascii="Microsoft Sans Serif" w:hAnsi="Microsoft Sans Serif" w:cs="Microsoft Sans Serif"/>
          <w:sz w:val="20"/>
          <w:szCs w:val="20"/>
          <w:lang w:val="sr-Latn-RS"/>
        </w:rPr>
        <w:t>kružnim</w:t>
      </w:r>
      <w:r>
        <w:rPr>
          <w:rFonts w:ascii="Microsoft Sans Serif" w:hAnsi="Microsoft Sans Serif" w:cs="Microsoft Sans Serif"/>
          <w:sz w:val="20"/>
          <w:szCs w:val="20"/>
          <w:lang w:val="sr-Cyrl-RS"/>
        </w:rPr>
        <w:t xml:space="preserve"> znakom sa jedne strane.</w:t>
      </w:r>
    </w:p>
    <w:p w14:paraId="190BE598">
      <w:pPr>
        <w:rPr>
          <w:rFonts w:ascii="Microsoft Sans Serif" w:hAnsi="Microsoft Sans Serif" w:cs="Microsoft Sans Serif"/>
          <w:sz w:val="20"/>
          <w:szCs w:val="20"/>
          <w:lang w:val="sr-Cyrl-RS"/>
        </w:rPr>
      </w:pPr>
    </w:p>
    <w:p w14:paraId="45AFC93E">
      <w:pPr>
        <w:rPr>
          <w:rFonts w:ascii="Microsoft Sans Serif" w:hAnsi="Microsoft Sans Serif" w:cs="Microsoft Sans Serif"/>
          <w:sz w:val="20"/>
          <w:szCs w:val="20"/>
          <w:lang w:val="sr-Cyrl-RS"/>
        </w:rPr>
      </w:pPr>
    </w:p>
    <w:p w14:paraId="7873C28B">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4. </w:t>
      </w:r>
      <w:r>
        <w:rPr>
          <w:rFonts w:ascii="Microsoft Sans Serif" w:hAnsi="Microsoft Sans Serif" w:cs="Microsoft Sans Serif"/>
          <w:b/>
          <w:sz w:val="20"/>
          <w:szCs w:val="20"/>
        </w:rPr>
        <w:t>KLINI</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KI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PODACI</w:t>
      </w:r>
    </w:p>
    <w:p w14:paraId="0BFB55E5">
      <w:pPr>
        <w:rPr>
          <w:rFonts w:ascii="Microsoft Sans Serif" w:hAnsi="Microsoft Sans Serif" w:cs="Microsoft Sans Serif"/>
          <w:b/>
          <w:bCs/>
          <w:sz w:val="20"/>
          <w:szCs w:val="20"/>
          <w:lang w:val="mk-MK"/>
        </w:rPr>
      </w:pPr>
    </w:p>
    <w:p w14:paraId="441AEE5C">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583713CA">
      <w:pPr>
        <w:rPr>
          <w:rFonts w:ascii="Microsoft Sans Serif" w:hAnsi="Microsoft Sans Serif" w:cs="Microsoft Sans Serif"/>
          <w:b/>
          <w:bCs/>
          <w:sz w:val="20"/>
          <w:szCs w:val="20"/>
          <w:lang w:val="sr-Cyrl-RS"/>
        </w:rPr>
      </w:pPr>
    </w:p>
    <w:p w14:paraId="53FF1A7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se koristi za kratkotrajnu terapiju blagog do um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erenog bola </w:t>
      </w:r>
      <w:r>
        <w:rPr>
          <w:rFonts w:ascii="Microsoft Sans Serif" w:hAnsi="Microsoft Sans Serif" w:cs="Microsoft Sans Serif"/>
          <w:sz w:val="20"/>
          <w:szCs w:val="20"/>
        </w:rPr>
        <w:t>povezanog</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rPr>
        <w:t>migrenom</w:t>
      </w:r>
      <w:r>
        <w:rPr>
          <w:rFonts w:ascii="Microsoft Sans Serif" w:hAnsi="Microsoft Sans Serif" w:cs="Microsoft Sans Serif"/>
          <w:sz w:val="20"/>
          <w:szCs w:val="20"/>
          <w:lang w:val="sr-Cyrl-RS"/>
        </w:rPr>
        <w:t>, glavobolјom, bolom u leđima, me</w:t>
      </w:r>
      <w:r>
        <w:rPr>
          <w:rFonts w:ascii="Microsoft Sans Serif" w:hAnsi="Microsoft Sans Serif" w:cs="Microsoft Sans Serif"/>
          <w:sz w:val="20"/>
          <w:szCs w:val="20"/>
          <w:lang w:val="sr-Latn-BA"/>
        </w:rPr>
        <w:t>n</w:t>
      </w:r>
      <w:r>
        <w:rPr>
          <w:rFonts w:ascii="Microsoft Sans Serif" w:hAnsi="Microsoft Sans Serif" w:cs="Microsoft Sans Serif"/>
          <w:sz w:val="20"/>
          <w:szCs w:val="20"/>
          <w:lang w:val="sr-Cyrl-RS"/>
        </w:rPr>
        <w:t xml:space="preserve">strualnim bolom, zubobolјom, reumatskim i mišićnim bolom, bolom kod </w:t>
      </w:r>
      <w:r>
        <w:rPr>
          <w:rFonts w:ascii="Microsoft Sans Serif" w:hAnsi="Microsoft Sans Serif" w:cs="Microsoft Sans Serif"/>
          <w:sz w:val="20"/>
          <w:szCs w:val="20"/>
          <w:lang w:val="hr-BA"/>
        </w:rPr>
        <w:t xml:space="preserve">blažeg oblika </w:t>
      </w:r>
      <w:r>
        <w:rPr>
          <w:rFonts w:ascii="Microsoft Sans Serif" w:hAnsi="Microsoft Sans Serif" w:cs="Microsoft Sans Serif"/>
          <w:sz w:val="20"/>
          <w:szCs w:val="20"/>
          <w:lang w:val="sr-Cyrl-RS"/>
        </w:rPr>
        <w:t>artritisa, simptomima prehlade i gripa, bolom u grlu i</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hr-BA"/>
        </w:rPr>
        <w:t>šenom tjelesnom temperaturom</w:t>
      </w:r>
      <w:r>
        <w:rPr>
          <w:rFonts w:ascii="Microsoft Sans Serif" w:hAnsi="Microsoft Sans Serif" w:cs="Microsoft Sans Serif"/>
          <w:sz w:val="20"/>
          <w:szCs w:val="20"/>
          <w:lang w:val="sr-Cyrl-RS"/>
        </w:rPr>
        <w:t>.</w:t>
      </w:r>
    </w:p>
    <w:p w14:paraId="7CA6A77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je posebno pogodan u terapiji bola koji zaht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eva jaču analgeziju nego sam ibuprofen ili paracetamol.</w:t>
      </w:r>
    </w:p>
    <w:p w14:paraId="2073331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BlokMAX</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Duo</w:t>
      </w:r>
      <w:r>
        <w:rPr>
          <w:rFonts w:ascii="Microsoft Sans Serif" w:hAnsi="Microsoft Sans Serif" w:cs="Microsoft Sans Serif"/>
          <w:sz w:val="20"/>
          <w:szCs w:val="20"/>
          <w:lang w:val="sr-Cyrl-RS"/>
        </w:rPr>
        <w:t xml:space="preserve"> je nam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enjen za odrasle starije od 18 godina.</w:t>
      </w:r>
    </w:p>
    <w:p w14:paraId="7E7C7988">
      <w:pPr>
        <w:rPr>
          <w:rFonts w:ascii="Microsoft Sans Serif" w:hAnsi="Microsoft Sans Serif" w:cs="Microsoft Sans Serif"/>
          <w:sz w:val="20"/>
          <w:szCs w:val="20"/>
          <w:lang w:val="sr-Cyrl-RS"/>
        </w:rPr>
      </w:pPr>
    </w:p>
    <w:p w14:paraId="084F57BC">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4.2. </w:t>
      </w:r>
      <w:r>
        <w:rPr>
          <w:rFonts w:ascii="Microsoft Sans Serif" w:hAnsi="Microsoft Sans Serif" w:cs="Microsoft Sans Serif"/>
          <w:b/>
          <w:bCs/>
          <w:sz w:val="20"/>
          <w:szCs w:val="20"/>
        </w:rPr>
        <w:t>Doziranje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rPr>
        <w:t>in</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primjene</w:t>
      </w:r>
    </w:p>
    <w:p w14:paraId="66E58E8D">
      <w:pPr>
        <w:rPr>
          <w:rFonts w:ascii="Microsoft Sans Serif" w:hAnsi="Microsoft Sans Serif" w:cs="Microsoft Sans Serif"/>
          <w:color w:val="FF0000"/>
          <w:sz w:val="20"/>
          <w:szCs w:val="20"/>
          <w:lang w:val="sr-Cyrl-RS"/>
        </w:rPr>
      </w:pPr>
    </w:p>
    <w:p w14:paraId="0F9AAD7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Cyrl-RS"/>
        </w:rPr>
        <w:t>Doziranje</w:t>
      </w:r>
    </w:p>
    <w:p w14:paraId="3BFD5378">
      <w:pPr>
        <w:rPr>
          <w:rFonts w:ascii="Microsoft Sans Serif" w:hAnsi="Microsoft Sans Serif" w:cs="Microsoft Sans Serif"/>
          <w:sz w:val="20"/>
          <w:szCs w:val="20"/>
          <w:u w:val="single"/>
          <w:lang w:val="sr-Latn-RS"/>
        </w:rPr>
      </w:pPr>
    </w:p>
    <w:p w14:paraId="0078070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Samo za kratkotrajnu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w:t>
      </w:r>
    </w:p>
    <w:p w14:paraId="17B14DC4">
      <w:pPr>
        <w:rPr>
          <w:rFonts w:ascii="Microsoft Sans Serif" w:hAnsi="Microsoft Sans Serif" w:cs="Microsoft Sans Serif"/>
          <w:sz w:val="20"/>
          <w:szCs w:val="20"/>
          <w:lang w:val="sr-Latn-RS"/>
        </w:rPr>
      </w:pPr>
    </w:p>
    <w:p w14:paraId="0801059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ublažavanje simptoma potrebno je koristiti najnižu efektivnu dozu najkraće moguće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w:t>
      </w:r>
      <w:r>
        <w:rPr>
          <w:rFonts w:ascii="Microsoft Sans Serif" w:hAnsi="Microsoft Sans Serif" w:cs="Microsoft Sans Serif"/>
          <w:sz w:val="20"/>
          <w:szCs w:val="20"/>
          <w:lang w:val="sr-Latn-RS"/>
        </w:rPr>
        <w:t xml:space="preserve"> (pogledati dio 4.4)</w:t>
      </w:r>
      <w:r>
        <w:rPr>
          <w:rFonts w:ascii="Microsoft Sans Serif" w:hAnsi="Microsoft Sans Serif" w:cs="Microsoft Sans Serif"/>
          <w:sz w:val="20"/>
          <w:szCs w:val="20"/>
          <w:lang w:val="sr-Cyrl-RS"/>
        </w:rPr>
        <w:t xml:space="preserve">. </w:t>
      </w:r>
    </w:p>
    <w:p w14:paraId="2A4119D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Pacijent treba da se posav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etuje sa svojim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ekarom ako simptomi traju ili se pogoršaju ili ako je potrebno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ečenje duže od 3 dana.</w:t>
      </w:r>
    </w:p>
    <w:p w14:paraId="1E89E980">
      <w:pPr>
        <w:rPr>
          <w:rFonts w:ascii="Microsoft Sans Serif" w:hAnsi="Microsoft Sans Serif" w:cs="Microsoft Sans Serif"/>
          <w:sz w:val="20"/>
          <w:szCs w:val="20"/>
          <w:u w:val="single"/>
          <w:lang w:val="sr-Cyrl-RS"/>
        </w:rPr>
      </w:pPr>
    </w:p>
    <w:p w14:paraId="2BCF83CB">
      <w:pPr>
        <w:rPr>
          <w:rFonts w:ascii="Microsoft Sans Serif" w:hAnsi="Microsoft Sans Serif" w:cs="Microsoft Sans Serif"/>
          <w:sz w:val="20"/>
          <w:szCs w:val="20"/>
          <w:lang w:val="hr-BA"/>
        </w:rPr>
      </w:pPr>
      <w:r>
        <w:rPr>
          <w:rFonts w:ascii="Microsoft Sans Serif" w:hAnsi="Microsoft Sans Serif" w:cs="Microsoft Sans Serif"/>
          <w:b/>
          <w:sz w:val="20"/>
          <w:szCs w:val="20"/>
          <w:lang w:val="sv-SE"/>
        </w:rPr>
        <w:t xml:space="preserve">Odrasli: </w:t>
      </w:r>
      <w:r>
        <w:rPr>
          <w:rFonts w:ascii="Microsoft Sans Serif" w:hAnsi="Microsoft Sans Serif" w:cs="Microsoft Sans Serif"/>
          <w:sz w:val="20"/>
          <w:szCs w:val="20"/>
          <w:lang w:val="sv-SE"/>
        </w:rPr>
        <w:t>Jedna tableta do tri puta na dan, sa dovol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nom količinom vode. Razmak izme</w:t>
      </w:r>
      <w:r>
        <w:rPr>
          <w:rFonts w:ascii="Microsoft Sans Serif" w:hAnsi="Microsoft Sans Serif" w:cs="Microsoft Sans Serif"/>
          <w:sz w:val="20"/>
          <w:szCs w:val="20"/>
          <w:lang w:val="hr-BA"/>
        </w:rPr>
        <w:t>đu doza mora biti najmanje šest sati.</w:t>
      </w:r>
    </w:p>
    <w:p w14:paraId="61FAA5E6">
      <w:pPr>
        <w:rPr>
          <w:rFonts w:ascii="Microsoft Sans Serif" w:hAnsi="Microsoft Sans Serif" w:cs="Microsoft Sans Serif"/>
          <w:sz w:val="20"/>
          <w:szCs w:val="20"/>
          <w:lang w:val="hr-BA"/>
        </w:rPr>
      </w:pPr>
    </w:p>
    <w:p w14:paraId="06657443">
      <w:pPr>
        <w:rPr>
          <w:rFonts w:ascii="Microsoft Sans Serif" w:hAnsi="Microsoft Sans Serif" w:cs="Microsoft Sans Serif"/>
          <w:sz w:val="20"/>
          <w:szCs w:val="20"/>
          <w:lang w:val="hr-BA"/>
        </w:rPr>
      </w:pPr>
      <w:r>
        <w:rPr>
          <w:rFonts w:ascii="Microsoft Sans Serif" w:hAnsi="Microsoft Sans Serif" w:cs="Microsoft Sans Serif"/>
          <w:sz w:val="20"/>
          <w:szCs w:val="20"/>
          <w:lang w:val="sv-SE"/>
        </w:rPr>
        <w:t>Ukoliko ne dođe do ublažavanja simptoma nakon uzimanja jedne tablete, mogu se uzeti najviše dvije tablete, tri puta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dan. Razmak izme</w:t>
      </w:r>
      <w:r>
        <w:rPr>
          <w:rFonts w:ascii="Microsoft Sans Serif" w:hAnsi="Microsoft Sans Serif" w:cs="Microsoft Sans Serif"/>
          <w:sz w:val="20"/>
          <w:szCs w:val="20"/>
          <w:lang w:val="hr-BA"/>
        </w:rPr>
        <w:t xml:space="preserve">đu doza mora biti najmanje šest sati. </w:t>
      </w:r>
    </w:p>
    <w:p w14:paraId="0A43C56B">
      <w:pPr>
        <w:rPr>
          <w:rFonts w:ascii="Microsoft Sans Serif" w:hAnsi="Microsoft Sans Serif" w:cs="Microsoft Sans Serif"/>
          <w:sz w:val="20"/>
          <w:szCs w:val="20"/>
          <w:lang w:val="hr-BA"/>
        </w:rPr>
      </w:pPr>
    </w:p>
    <w:p w14:paraId="52FFCBF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Ne preporučuje se primjena više od 6 tableta (3000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v-SE"/>
        </w:rPr>
        <w:t xml:space="preserve"> paracetamola i 1200 mg ibuprofena) tokom 24 sata.</w:t>
      </w:r>
    </w:p>
    <w:p w14:paraId="3A4184C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Neželјena djelovanja se mogu </w:t>
      </w:r>
      <w:r>
        <w:rPr>
          <w:rFonts w:ascii="Microsoft Sans Serif" w:hAnsi="Microsoft Sans Serif" w:cs="Microsoft Sans Serif"/>
          <w:sz w:val="20"/>
          <w:szCs w:val="20"/>
          <w:lang w:val="hr-BA"/>
        </w:rPr>
        <w:t>minimizirati</w:t>
      </w:r>
      <w:r>
        <w:rPr>
          <w:rFonts w:ascii="Microsoft Sans Serif" w:hAnsi="Microsoft Sans Serif" w:cs="Microsoft Sans Serif"/>
          <w:sz w:val="20"/>
          <w:szCs w:val="20"/>
          <w:lang w:val="sr-Cyrl-RS"/>
        </w:rPr>
        <w:t xml:space="preserv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enom najniže efektivne doze za ublažavanje simptoma u najkraćem </w:t>
      </w:r>
      <w:r>
        <w:rPr>
          <w:rFonts w:ascii="Microsoft Sans Serif" w:hAnsi="Microsoft Sans Serif" w:cs="Microsoft Sans Serif"/>
          <w:sz w:val="20"/>
          <w:szCs w:val="20"/>
          <w:lang w:val="hr-BA"/>
        </w:rPr>
        <w:t xml:space="preserve">vremenskom </w:t>
      </w:r>
      <w:r>
        <w:rPr>
          <w:rFonts w:ascii="Microsoft Sans Serif" w:hAnsi="Microsoft Sans Serif" w:cs="Microsoft Sans Serif"/>
          <w:sz w:val="20"/>
          <w:szCs w:val="20"/>
          <w:lang w:val="sr-Cyrl-RS"/>
        </w:rPr>
        <w:t>periodu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403083B8">
      <w:pPr>
        <w:rPr>
          <w:rFonts w:ascii="Microsoft Sans Serif" w:hAnsi="Microsoft Sans Serif" w:cs="Microsoft Sans Serif"/>
          <w:sz w:val="20"/>
          <w:szCs w:val="20"/>
          <w:lang w:val="sv-SE"/>
        </w:rPr>
      </w:pPr>
    </w:p>
    <w:p w14:paraId="7E90DDE6">
      <w:pPr>
        <w:rPr>
          <w:rFonts w:ascii="Microsoft Sans Serif" w:hAnsi="Microsoft Sans Serif" w:cs="Microsoft Sans Serif"/>
          <w:color w:val="FF0000"/>
          <w:sz w:val="20"/>
          <w:szCs w:val="20"/>
          <w:lang w:val="sv-SE"/>
        </w:rPr>
      </w:pPr>
      <w:r>
        <w:rPr>
          <w:rFonts w:ascii="Microsoft Sans Serif" w:hAnsi="Microsoft Sans Serif" w:cs="Microsoft Sans Serif"/>
          <w:sz w:val="20"/>
          <w:szCs w:val="20"/>
          <w:lang w:val="sv-SE"/>
        </w:rPr>
        <w:t>Da bi se minimizirala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preporučuje se upotreba lijeka BlokMAX Duo sa hranom.</w:t>
      </w:r>
    </w:p>
    <w:p w14:paraId="169DC58E">
      <w:pPr>
        <w:rPr>
          <w:rFonts w:ascii="Microsoft Sans Serif" w:hAnsi="Microsoft Sans Serif" w:cs="Microsoft Sans Serif"/>
          <w:b/>
          <w:sz w:val="20"/>
          <w:szCs w:val="20"/>
          <w:lang w:val="sv-SE"/>
        </w:rPr>
      </w:pPr>
    </w:p>
    <w:p w14:paraId="3DB09BF2">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Stariji pacijenti</w:t>
      </w:r>
      <w:r>
        <w:rPr>
          <w:rFonts w:ascii="Microsoft Sans Serif" w:hAnsi="Microsoft Sans Serif" w:cs="Microsoft Sans Serif"/>
          <w:sz w:val="20"/>
          <w:szCs w:val="20"/>
          <w:lang w:val="sv-SE"/>
        </w:rPr>
        <w:t>: nije potrebno prilagođavanje doze (pogledati dio 4.4).</w:t>
      </w:r>
    </w:p>
    <w:p w14:paraId="69B4D471">
      <w:pPr>
        <w:rPr>
          <w:rFonts w:ascii="Microsoft Sans Serif" w:hAnsi="Microsoft Sans Serif" w:cs="Microsoft Sans Serif"/>
          <w:sz w:val="20"/>
          <w:szCs w:val="20"/>
          <w:lang w:val="sv-SE"/>
        </w:rPr>
      </w:pPr>
    </w:p>
    <w:p w14:paraId="3B5B781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Kod starijih pacijenata postoji veći rizik od ozbiljnih posljedica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dejstava. Ako je neophodna upotreba 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potrebno je koristiti najnižu efektivnu dozu, najkraći mogući period potreban za kontrolu simptoma. Za vrijeme terapije NSAIL potrebno je 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pratiti stanje pacijenata zbog moguće pojave gastrointestinalnog krvarenja</w:t>
      </w:r>
      <w:r>
        <w:rPr>
          <w:rFonts w:ascii="Microsoft Sans Serif" w:hAnsi="Microsoft Sans Serif" w:cs="Microsoft Sans Serif"/>
          <w:sz w:val="20"/>
          <w:szCs w:val="20"/>
          <w:lang w:val="sr-Cyrl-RS"/>
        </w:rPr>
        <w:t>.</w:t>
      </w:r>
    </w:p>
    <w:p w14:paraId="3F1A0642">
      <w:pPr>
        <w:rPr>
          <w:rFonts w:ascii="Microsoft Sans Serif" w:hAnsi="Microsoft Sans Serif" w:cs="Microsoft Sans Serif"/>
          <w:bCs/>
          <w:i/>
          <w:iCs/>
          <w:sz w:val="20"/>
          <w:szCs w:val="20"/>
          <w:lang w:val="sv-SE"/>
        </w:rPr>
      </w:pPr>
    </w:p>
    <w:p w14:paraId="646EE2E6">
      <w:pPr>
        <w:rPr>
          <w:rFonts w:ascii="Microsoft Sans Serif" w:hAnsi="Microsoft Sans Serif" w:cs="Microsoft Sans Serif"/>
          <w:bCs/>
          <w:i/>
          <w:iCs/>
          <w:sz w:val="20"/>
          <w:szCs w:val="20"/>
          <w:lang w:val="sr-Cyrl-RS"/>
        </w:rPr>
      </w:pPr>
      <w:r>
        <w:rPr>
          <w:rFonts w:ascii="Microsoft Sans Serif" w:hAnsi="Microsoft Sans Serif" w:cs="Microsoft Sans Serif"/>
          <w:bCs/>
          <w:i/>
          <w:iCs/>
          <w:sz w:val="20"/>
          <w:szCs w:val="20"/>
          <w:lang w:val="sr-Cyrl-RS"/>
        </w:rPr>
        <w:t>Pedijatrijska populacija</w:t>
      </w:r>
    </w:p>
    <w:p w14:paraId="0D0371FE">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v-SE"/>
        </w:rPr>
        <w:t>Ne smije se upotrebl</w:t>
      </w:r>
      <w:r>
        <w:rPr>
          <w:rFonts w:ascii="Microsoft Sans Serif" w:hAnsi="Microsoft Sans Serif" w:cs="Microsoft Sans Serif"/>
          <w:bCs/>
          <w:iCs/>
          <w:sz w:val="20"/>
          <w:szCs w:val="20"/>
        </w:rPr>
        <w:t>ј</w:t>
      </w:r>
      <w:r>
        <w:rPr>
          <w:rFonts w:ascii="Microsoft Sans Serif" w:hAnsi="Microsoft Sans Serif" w:cs="Microsoft Sans Serif"/>
          <w:bCs/>
          <w:iCs/>
          <w:sz w:val="20"/>
          <w:szCs w:val="20"/>
          <w:lang w:val="sv-SE"/>
        </w:rPr>
        <w:t>avati kod djece mlađe od 18 godina</w:t>
      </w:r>
      <w:r>
        <w:rPr>
          <w:rFonts w:ascii="Microsoft Sans Serif" w:hAnsi="Microsoft Sans Serif" w:cs="Microsoft Sans Serif"/>
          <w:bCs/>
          <w:iCs/>
          <w:sz w:val="20"/>
          <w:szCs w:val="20"/>
          <w:lang w:val="sr-Cyrl-RS"/>
        </w:rPr>
        <w:t>.</w:t>
      </w:r>
    </w:p>
    <w:p w14:paraId="5838C7FB">
      <w:pPr>
        <w:tabs>
          <w:tab w:val="left" w:pos="567"/>
        </w:tabs>
        <w:rPr>
          <w:rFonts w:ascii="Microsoft Sans Serif" w:hAnsi="Microsoft Sans Serif" w:cs="Microsoft Sans Serif"/>
          <w:sz w:val="20"/>
          <w:szCs w:val="20"/>
          <w:u w:val="single"/>
          <w:lang w:val="sr-Cyrl-RS"/>
        </w:rPr>
      </w:pPr>
    </w:p>
    <w:p w14:paraId="155CD68E">
      <w:pPr>
        <w:tabs>
          <w:tab w:val="left" w:pos="567"/>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Način prim</w:t>
      </w:r>
      <w:r>
        <w:rPr>
          <w:rFonts w:ascii="Microsoft Sans Serif" w:hAnsi="Microsoft Sans Serif" w:cs="Microsoft Sans Serif"/>
          <w:sz w:val="20"/>
          <w:szCs w:val="20"/>
          <w:u w:val="single"/>
          <w:lang w:val="sr-Latn-RS"/>
        </w:rPr>
        <w:t>j</w:t>
      </w:r>
      <w:r>
        <w:rPr>
          <w:rFonts w:ascii="Microsoft Sans Serif" w:hAnsi="Microsoft Sans Serif" w:cs="Microsoft Sans Serif"/>
          <w:sz w:val="20"/>
          <w:szCs w:val="20"/>
          <w:u w:val="single"/>
          <w:lang w:val="sr-Cyrl-RS"/>
        </w:rPr>
        <w:t>ene:</w:t>
      </w:r>
    </w:p>
    <w:p w14:paraId="259FCE6B">
      <w:pPr>
        <w:tabs>
          <w:tab w:val="left" w:pos="567"/>
          <w:tab w:val="left" w:pos="2499"/>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oralnu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w:t>
      </w:r>
    </w:p>
    <w:p w14:paraId="7EBEA79F">
      <w:pPr>
        <w:tabs>
          <w:tab w:val="left" w:pos="567"/>
        </w:tabs>
        <w:rPr>
          <w:rFonts w:ascii="Microsoft Sans Serif" w:hAnsi="Microsoft Sans Serif" w:cs="Microsoft Sans Serif"/>
          <w:sz w:val="20"/>
          <w:szCs w:val="20"/>
          <w:lang w:val="sr-Cyrl-RS"/>
        </w:rPr>
      </w:pPr>
    </w:p>
    <w:p w14:paraId="73318D46">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4.3. </w:t>
      </w:r>
      <w:r>
        <w:rPr>
          <w:rFonts w:ascii="Microsoft Sans Serif" w:hAnsi="Microsoft Sans Serif" w:cs="Microsoft Sans Serif"/>
          <w:b/>
          <w:bCs/>
          <w:sz w:val="20"/>
          <w:szCs w:val="20"/>
        </w:rPr>
        <w:t>Kontraindikacije</w:t>
      </w:r>
    </w:p>
    <w:p w14:paraId="4F05A2DA">
      <w:pPr>
        <w:rPr>
          <w:rFonts w:ascii="Microsoft Sans Serif" w:hAnsi="Microsoft Sans Serif" w:cs="Microsoft Sans Serif"/>
          <w:b/>
          <w:bCs/>
          <w:sz w:val="20"/>
          <w:szCs w:val="20"/>
          <w:lang w:val="sr-Cyrl-RS"/>
        </w:rPr>
      </w:pPr>
    </w:p>
    <w:p w14:paraId="264558B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color w:val="FF0000"/>
          <w:sz w:val="20"/>
          <w:szCs w:val="20"/>
          <w:lang w:val="sr-Cyrl-RS"/>
        </w:rPr>
        <w:t xml:space="preserve"> </w:t>
      </w:r>
      <w:r>
        <w:rPr>
          <w:rFonts w:ascii="Microsoft Sans Serif" w:hAnsi="Microsoft Sans Serif" w:cs="Microsoft Sans Serif"/>
          <w:sz w:val="20"/>
          <w:szCs w:val="20"/>
        </w:rPr>
        <w:t>Preosjetl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ibuprofen</w:t>
      </w:r>
      <w:r>
        <w:rPr>
          <w:rFonts w:ascii="Microsoft Sans Serif" w:hAnsi="Microsoft Sans Serif" w:cs="Microsoft Sans Serif"/>
          <w:sz w:val="20"/>
          <w:szCs w:val="20"/>
          <w:lang w:val="sr-Cyrl-RS"/>
        </w:rPr>
        <w:t xml:space="preserve">, paracetamol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supstanci</w:t>
      </w:r>
      <w:r>
        <w:rPr>
          <w:rFonts w:ascii="Microsoft Sans Serif" w:hAnsi="Microsoft Sans Serif" w:cs="Microsoft Sans Serif"/>
          <w:sz w:val="20"/>
          <w:szCs w:val="20"/>
          <w:lang w:val="sr-Cyrl-RS"/>
        </w:rPr>
        <w:t xml:space="preserve"> navedenih u </w:t>
      </w:r>
      <w:r>
        <w:rPr>
          <w:rFonts w:ascii="Microsoft Sans Serif" w:hAnsi="Microsoft Sans Serif" w:cs="Microsoft Sans Serif"/>
          <w:sz w:val="20"/>
          <w:szCs w:val="20"/>
          <w:lang w:val="sr-Latn-RS"/>
        </w:rPr>
        <w:t>dijelu</w:t>
      </w:r>
      <w:r>
        <w:rPr>
          <w:rFonts w:ascii="Microsoft Sans Serif" w:hAnsi="Microsoft Sans Serif" w:cs="Microsoft Sans Serif"/>
          <w:sz w:val="20"/>
          <w:szCs w:val="20"/>
          <w:lang w:val="sr-Cyrl-RS"/>
        </w:rPr>
        <w:t xml:space="preserve"> 6.1.</w:t>
      </w:r>
    </w:p>
    <w:p w14:paraId="4D6A38CE">
      <w:pPr>
        <w:tabs>
          <w:tab w:val="left" w:pos="142"/>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Kod </w:t>
      </w:r>
      <w:r>
        <w:rPr>
          <w:rFonts w:ascii="Microsoft Sans Serif" w:hAnsi="Microsoft Sans Serif" w:cs="Microsoft Sans Serif"/>
          <w:sz w:val="20"/>
          <w:szCs w:val="20"/>
        </w:rPr>
        <w:t>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t</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anamnezi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preosjetl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bronhospazam, </w:t>
      </w:r>
      <w:r>
        <w:rPr>
          <w:rFonts w:ascii="Microsoft Sans Serif" w:hAnsi="Microsoft Sans Serif" w:cs="Microsoft Sans Serif"/>
          <w:sz w:val="20"/>
          <w:szCs w:val="20"/>
        </w:rPr>
        <w:t>angioedem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rinitis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urtikariju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acetilsalicilne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nestreoidnih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antiinflamatornih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w:t>
      </w:r>
    </w:p>
    <w:p w14:paraId="7F12111F">
      <w:pPr>
        <w:tabs>
          <w:tab w:val="clear" w:pos="284"/>
        </w:tabs>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Gastrointestinalno krvarenje ili perforacije, povezane sa ranijim NSAIL terapijama.</w:t>
      </w:r>
    </w:p>
    <w:p w14:paraId="7327CDBE">
      <w:p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w:t>
      </w:r>
      <w:r>
        <w:rPr>
          <w:rFonts w:ascii="Microsoft Sans Serif" w:hAnsi="Microsoft Sans Serif" w:cs="Microsoft Sans Serif"/>
          <w:sz w:val="20"/>
          <w:szCs w:val="20"/>
          <w:lang w:val="sr-Cyrl-RS"/>
        </w:rPr>
        <w:t xml:space="preserve"> Aktivn</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 xml:space="preserve"> peptičn</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r-Cyrl-RS"/>
        </w:rPr>
        <w:t>ulkus</w:t>
      </w:r>
      <w:r>
        <w:rPr>
          <w:rFonts w:ascii="Microsoft Sans Serif" w:hAnsi="Microsoft Sans Serif" w:cs="Microsoft Sans Serif"/>
          <w:sz w:val="20"/>
          <w:szCs w:val="20"/>
          <w:lang w:val="fr-FR"/>
        </w:rPr>
        <w:t xml:space="preserve">/krvarenje ili </w:t>
      </w:r>
      <w:r>
        <w:rPr>
          <w:rFonts w:ascii="Microsoft Sans Serif" w:hAnsi="Microsoft Sans Serif" w:cs="Microsoft Sans Serif"/>
          <w:sz w:val="20"/>
          <w:szCs w:val="20"/>
          <w:lang w:val="sr-Cyrl-RS"/>
        </w:rPr>
        <w:t>peptičn</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r-Cyrl-RS"/>
        </w:rPr>
        <w:t>ulkus</w:t>
      </w:r>
      <w:r>
        <w:rPr>
          <w:rFonts w:ascii="Microsoft Sans Serif" w:hAnsi="Microsoft Sans Serif" w:cs="Microsoft Sans Serif"/>
          <w:sz w:val="20"/>
          <w:szCs w:val="20"/>
          <w:lang w:val="fr-FR"/>
        </w:rPr>
        <w:t>/krvarenje u anamnezi (dvije ili više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različitih epizoda dokazane ulceracije ili krvarenja).</w:t>
      </w:r>
    </w:p>
    <w:p w14:paraId="590CD90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Kod pacijenata sa poremećajima koagulacije.</w:t>
      </w:r>
    </w:p>
    <w:p w14:paraId="5CEF984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Kod pacijenata sa teškom insuficijencijom jetre, bubrega ili teškom srčanom insuficijencijom (</w:t>
      </w:r>
      <w:r>
        <w:rPr>
          <w:rFonts w:ascii="Microsoft Sans Serif" w:hAnsi="Microsoft Sans Serif" w:cs="Microsoft Sans Serif"/>
          <w:sz w:val="20"/>
          <w:szCs w:val="20"/>
        </w:rPr>
        <w:t>NYHA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IV</w:t>
      </w:r>
      <w:r>
        <w:rPr>
          <w:rFonts w:ascii="Microsoft Sans Serif" w:hAnsi="Microsoft Sans Serif" w:cs="Microsoft Sans Serif"/>
          <w:sz w:val="20"/>
          <w:szCs w:val="20"/>
          <w:lang w:val="sr-Cyrl-RS"/>
        </w:rPr>
        <w:t>)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6EB1730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drugih NSAIL uklјučujući i selektivne </w:t>
      </w:r>
      <w:r>
        <w:rPr>
          <w:rFonts w:ascii="Microsoft Sans Serif" w:hAnsi="Microsoft Sans Serif" w:cs="Microsoft Sans Serif"/>
          <w:sz w:val="20"/>
          <w:szCs w:val="20"/>
        </w:rPr>
        <w:t>COX</w:t>
      </w:r>
      <w:r>
        <w:rPr>
          <w:rFonts w:ascii="Microsoft Sans Serif" w:hAnsi="Microsoft Sans Serif" w:cs="Microsoft Sans Serif"/>
          <w:sz w:val="20"/>
          <w:szCs w:val="20"/>
          <w:lang w:val="sr-Cyrl-RS"/>
        </w:rPr>
        <w:t xml:space="preserve"> 2 inhibitore i acetilsalicilnu kiselinu u dozi višoj od 75 mg dnevno – povećava rizik za nastanak neželјenih dejstava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4.5).</w:t>
      </w:r>
    </w:p>
    <w:p w14:paraId="28966C7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sa drugim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ekovima koji sadrže paracetamol – povećan rizik za nastanak </w:t>
      </w:r>
      <w:r>
        <w:rPr>
          <w:rFonts w:ascii="Microsoft Sans Serif" w:hAnsi="Microsoft Sans Serif" w:cs="Microsoft Sans Serif"/>
          <w:sz w:val="20"/>
          <w:szCs w:val="20"/>
        </w:rPr>
        <w:t>ozbiljnih</w:t>
      </w:r>
      <w:r>
        <w:rPr>
          <w:rFonts w:ascii="Microsoft Sans Serif" w:hAnsi="Microsoft Sans Serif" w:cs="Microsoft Sans Serif"/>
          <w:sz w:val="20"/>
          <w:szCs w:val="20"/>
          <w:lang w:val="sr-Cyrl-RS"/>
        </w:rPr>
        <w:t xml:space="preserve"> neželјenih dejstava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4.5).</w:t>
      </w:r>
    </w:p>
    <w:p w14:paraId="2DCD0A5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Tokom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ednjeg trimestra trudnoće zbog rizika od preranog zatvaranja fetalnog </w:t>
      </w:r>
      <w:r>
        <w:rPr>
          <w:rFonts w:ascii="Microsoft Sans Serif" w:hAnsi="Microsoft Sans Serif" w:cs="Microsoft Sans Serif"/>
          <w:i/>
          <w:sz w:val="20"/>
          <w:szCs w:val="20"/>
        </w:rPr>
        <w:t>ductus</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arteriosus</w:t>
      </w:r>
      <w:r>
        <w:rPr>
          <w:rFonts w:ascii="Microsoft Sans Serif" w:hAnsi="Microsoft Sans Serif" w:cs="Microsoft Sans Serif"/>
          <w:sz w:val="20"/>
          <w:szCs w:val="20"/>
          <w:lang w:val="sr-Cyrl-RS"/>
        </w:rPr>
        <w:t>-a sa mogućom plućnom hipertenzijom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4.6).</w:t>
      </w:r>
    </w:p>
    <w:p w14:paraId="2E12B360">
      <w:pPr>
        <w:rPr>
          <w:rFonts w:ascii="Microsoft Sans Serif" w:hAnsi="Microsoft Sans Serif" w:cs="Microsoft Sans Serif"/>
          <w:sz w:val="20"/>
          <w:szCs w:val="20"/>
          <w:lang w:val="sr-Cyrl-RS"/>
        </w:rPr>
      </w:pPr>
    </w:p>
    <w:p w14:paraId="1E7848D0">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4.4. </w:t>
      </w:r>
      <w:r>
        <w:rPr>
          <w:rFonts w:ascii="Microsoft Sans Serif" w:hAnsi="Microsoft Sans Serif" w:cs="Microsoft Sans Serif"/>
          <w:b/>
          <w:bCs/>
          <w:sz w:val="20"/>
          <w:szCs w:val="20"/>
          <w:lang w:val="ru-RU"/>
        </w:rPr>
        <w:t>Posebna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upozorenja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upotrebi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078E0C5D">
      <w:pPr>
        <w:rPr>
          <w:rFonts w:ascii="Microsoft Sans Serif" w:hAnsi="Microsoft Sans Serif" w:cs="Microsoft Sans Serif"/>
          <w:b/>
          <w:bCs/>
          <w:sz w:val="20"/>
          <w:szCs w:val="20"/>
          <w:lang w:val="sr-Cyrl-RS"/>
        </w:rPr>
      </w:pPr>
    </w:p>
    <w:p w14:paraId="6F7CF31F">
      <w:pPr>
        <w:rPr>
          <w:rFonts w:ascii="Microsoft Sans Serif" w:hAnsi="Microsoft Sans Serif" w:cs="Microsoft Sans Serif"/>
          <w:sz w:val="20"/>
          <w:szCs w:val="20"/>
          <w:lang w:val="sr-Cyrl-RS"/>
        </w:rPr>
      </w:pP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alkoholnim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ciroze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prevelike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odmah kontaktirajte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ekara, č</w:t>
      </w:r>
      <w:r>
        <w:rPr>
          <w:rFonts w:ascii="Microsoft Sans Serif" w:hAnsi="Microsoft Sans Serif" w:cs="Microsoft Sans Serif"/>
          <w:sz w:val="20"/>
          <w:szCs w:val="20"/>
        </w:rPr>
        <w: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w:t>
      </w:r>
    </w:p>
    <w:p w14:paraId="4EC4DDDA">
      <w:pPr>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oprez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flukloksacilinom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acidoze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anjonskim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procjepom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engl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high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anion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acidosis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HAGMA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sepsom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pothranjeno</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izvorima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nedostatka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glutationa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alkoholizam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ljivo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pretragu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mjerenja</w:t>
      </w:r>
      <w:r>
        <w:rPr>
          <w:rFonts w:ascii="Microsoft Sans Serif" w:hAnsi="Microsoft Sans Serif" w:cs="Microsoft Sans Serif"/>
          <w:sz w:val="20"/>
          <w:szCs w:val="20"/>
          <w:lang w:val="sr-Cyrl-RS"/>
        </w:rPr>
        <w:t xml:space="preserve"> 5-</w:t>
      </w:r>
      <w:r>
        <w:rPr>
          <w:rFonts w:ascii="Microsoft Sans Serif" w:hAnsi="Microsoft Sans Serif" w:cs="Microsoft Sans Serif"/>
          <w:sz w:val="20"/>
          <w:szCs w:val="20"/>
        </w:rPr>
        <w:t>oksoprolina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urinu</w:t>
      </w:r>
      <w:r>
        <w:rPr>
          <w:rFonts w:ascii="Microsoft Sans Serif" w:hAnsi="Microsoft Sans Serif" w:cs="Microsoft Sans Serif"/>
          <w:sz w:val="20"/>
          <w:szCs w:val="20"/>
          <w:lang w:val="sr-Cyrl-RS"/>
        </w:rPr>
        <w:t>.</w:t>
      </w:r>
    </w:p>
    <w:p w14:paraId="0658C664">
      <w:pPr>
        <w:rPr>
          <w:rFonts w:ascii="Microsoft Sans Serif" w:hAnsi="Microsoft Sans Serif" w:cs="Microsoft Sans Serif"/>
          <w:sz w:val="20"/>
          <w:szCs w:val="20"/>
          <w:lang w:val="sr-Cyrl-RS"/>
        </w:rPr>
      </w:pPr>
    </w:p>
    <w:p w14:paraId="20DB6D32">
      <w:pPr>
        <w:rPr>
          <w:rFonts w:ascii="Microsoft Sans Serif" w:hAnsi="Microsoft Sans Serif" w:cs="Microsoft Sans Serif"/>
          <w:sz w:val="20"/>
          <w:szCs w:val="20"/>
          <w:lang w:val="sr-Cyrl-RS"/>
        </w:rPr>
      </w:pP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minimizirati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najkra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4.2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gastrointestinalne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kardiovaskularne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nastavku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teksta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4.2).</w:t>
      </w:r>
    </w:p>
    <w:p w14:paraId="1CF8CF10">
      <w:pPr>
        <w:rPr>
          <w:rFonts w:ascii="Microsoft Sans Serif" w:hAnsi="Microsoft Sans Serif" w:cs="Microsoft Sans Serif"/>
          <w:sz w:val="20"/>
          <w:szCs w:val="20"/>
          <w:lang w:val="sr-Cyrl-RS"/>
        </w:rPr>
      </w:pPr>
    </w:p>
    <w:p w14:paraId="121A2381">
      <w:pPr>
        <w:rPr>
          <w:rFonts w:ascii="Microsoft Sans Serif" w:hAnsi="Microsoft Sans Serif" w:cs="Microsoft Sans Serif"/>
          <w:i/>
          <w:sz w:val="20"/>
          <w:szCs w:val="20"/>
          <w:lang w:val="sr-Cyrl-RS"/>
        </w:rPr>
      </w:pPr>
    </w:p>
    <w:p w14:paraId="5865A5F6">
      <w:pPr>
        <w:rPr>
          <w:rFonts w:ascii="Microsoft Sans Serif" w:hAnsi="Microsoft Sans Serif" w:cs="Microsoft Sans Serif"/>
          <w:i/>
          <w:sz w:val="20"/>
          <w:szCs w:val="20"/>
          <w:lang w:val="sr-Cyrl-RS"/>
        </w:rPr>
      </w:pPr>
    </w:p>
    <w:p w14:paraId="102C5F9F">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Starije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osobe</w:t>
      </w:r>
      <w:r>
        <w:rPr>
          <w:rFonts w:ascii="Microsoft Sans Serif" w:hAnsi="Microsoft Sans Serif" w:cs="Microsoft Sans Serif"/>
          <w:i/>
          <w:sz w:val="20"/>
          <w:szCs w:val="20"/>
          <w:lang w:val="sr-Cyrl-RS"/>
        </w:rPr>
        <w:t>:</w:t>
      </w:r>
    </w:p>
    <w:p w14:paraId="115D2331">
      <w:pPr>
        <w:rPr>
          <w:rFonts w:ascii="Microsoft Sans Serif" w:hAnsi="Microsoft Sans Serif" w:cs="Microsoft Sans Serif"/>
          <w:sz w:val="20"/>
          <w:szCs w:val="20"/>
          <w:lang w:val="sr-Cyrl-RS"/>
        </w:rPr>
      </w:pPr>
      <w:r>
        <w:rPr>
          <w:rFonts w:ascii="Microsoft Sans Serif" w:hAnsi="Microsoft Sans Serif" w:cs="Microsoft Sans Serif"/>
          <w:sz w:val="20"/>
          <w:szCs w:val="20"/>
        </w:rPr>
        <w:t>Starije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osobe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estalost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 xml:space="preserve">, posebno </w:t>
      </w:r>
      <w:r>
        <w:rPr>
          <w:rFonts w:ascii="Microsoft Sans Serif" w:hAnsi="Microsoft Sans Serif" w:cs="Microsoft Sans Serif"/>
          <w:sz w:val="20"/>
          <w:szCs w:val="20"/>
        </w:rPr>
        <w:t>gastrointestinalno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perforaciju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4.2).</w:t>
      </w:r>
    </w:p>
    <w:p w14:paraId="3D1BCCC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p>
    <w:p w14:paraId="6E8B5D5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Oprez je potreban kod pacijenata sa posebnim stanjima:</w:t>
      </w:r>
    </w:p>
    <w:p w14:paraId="73896A4F">
      <w:pPr>
        <w:pStyle w:val="22"/>
        <w:numPr>
          <w:ilvl w:val="0"/>
          <w:numId w:val="1"/>
        </w:numPr>
        <w:autoSpaceDE w:val="0"/>
        <w:autoSpaceDN w:val="0"/>
        <w:adjustRightInd w:val="0"/>
        <w:spacing w:after="0" w:line="240" w:lineRule="auto"/>
        <w:ind w:left="0" w:firstLine="0"/>
        <w:rPr>
          <w:rFonts w:ascii="Microsoft Sans Serif" w:hAnsi="Microsoft Sans Serif" w:cs="Microsoft Sans Serif"/>
          <w:i/>
          <w:iCs/>
          <w:sz w:val="20"/>
          <w:szCs w:val="20"/>
        </w:rPr>
      </w:pPr>
      <w:r>
        <w:rPr>
          <w:rFonts w:ascii="Microsoft Sans Serif" w:hAnsi="Microsoft Sans Serif" w:cs="Microsoft Sans Serif"/>
          <w:i/>
          <w:iCs/>
          <w:sz w:val="20"/>
          <w:szCs w:val="20"/>
        </w:rPr>
        <w:t>Respiratorni poremećaji</w:t>
      </w:r>
    </w:p>
    <w:p w14:paraId="79C05B72">
      <w:pPr>
        <w:autoSpaceDE w:val="0"/>
        <w:autoSpaceDN w:val="0"/>
        <w:adjustRightInd w:val="0"/>
        <w:rPr>
          <w:rFonts w:ascii="Microsoft Sans Serif" w:hAnsi="Microsoft Sans Serif" w:cs="Microsoft Sans Serif"/>
          <w:i/>
          <w:iCs/>
          <w:sz w:val="20"/>
          <w:szCs w:val="20"/>
          <w:lang w:val="sr-Cyrl-RS"/>
        </w:rPr>
      </w:pPr>
      <w:r>
        <w:rPr>
          <w:rFonts w:ascii="Microsoft Sans Serif" w:hAnsi="Microsoft Sans Serif" w:cs="Microsoft Sans Serif"/>
          <w:iCs/>
          <w:sz w:val="20"/>
          <w:szCs w:val="20"/>
          <w:lang w:val="mk-MK"/>
        </w:rPr>
        <w:t>Kod pacijenta sa aktivnom bronhijalnom astmom ili koji imaju bronhijalnu astmu u anamnezi, zabilje</w:t>
      </w:r>
      <w:r>
        <w:rPr>
          <w:rFonts w:ascii="Microsoft Sans Serif" w:hAnsi="Microsoft Sans Serif" w:cs="Microsoft Sans Serif"/>
          <w:iCs/>
          <w:sz w:val="20"/>
          <w:szCs w:val="20"/>
          <w:lang w:val="hr-BA"/>
        </w:rPr>
        <w:t xml:space="preserve">žani su slučajeve iznenadnih </w:t>
      </w:r>
      <w:r>
        <w:rPr>
          <w:rFonts w:ascii="Microsoft Sans Serif" w:hAnsi="Microsoft Sans Serif" w:cs="Microsoft Sans Serif"/>
          <w:iCs/>
          <w:sz w:val="20"/>
          <w:szCs w:val="20"/>
          <w:lang w:val="mk-MK"/>
        </w:rPr>
        <w:t xml:space="preserve">bronhospazama </w:t>
      </w:r>
      <w:r>
        <w:rPr>
          <w:rFonts w:ascii="Microsoft Sans Serif" w:hAnsi="Microsoft Sans Serif" w:cs="Microsoft Sans Serif"/>
          <w:iCs/>
          <w:sz w:val="20"/>
          <w:szCs w:val="20"/>
          <w:lang w:val="sr-Cyrl-RS"/>
        </w:rPr>
        <w:t>nakon terapije sa NSAIL.</w:t>
      </w:r>
    </w:p>
    <w:p w14:paraId="63812344">
      <w:pPr>
        <w:pStyle w:val="22"/>
        <w:numPr>
          <w:ilvl w:val="0"/>
          <w:numId w:val="1"/>
        </w:numPr>
        <w:spacing w:after="0" w:line="240" w:lineRule="auto"/>
        <w:ind w:left="0" w:firstLine="0"/>
        <w:rPr>
          <w:rFonts w:ascii="Microsoft Sans Serif" w:hAnsi="Microsoft Sans Serif" w:cs="Microsoft Sans Serif"/>
          <w:i/>
          <w:sz w:val="20"/>
          <w:szCs w:val="20"/>
        </w:rPr>
      </w:pPr>
      <w:r>
        <w:rPr>
          <w:rFonts w:ascii="Microsoft Sans Serif" w:hAnsi="Microsoft Sans Serif" w:cs="Microsoft Sans Serif"/>
          <w:i/>
          <w:sz w:val="20"/>
          <w:szCs w:val="20"/>
          <w:lang w:val="sr-Cyrl-RS"/>
        </w:rPr>
        <w:t>Kardiovaskularno o</w:t>
      </w:r>
      <w:r>
        <w:rPr>
          <w:rFonts w:ascii="Microsoft Sans Serif" w:hAnsi="Microsoft Sans Serif" w:cs="Microsoft Sans Serif"/>
          <w:i/>
          <w:sz w:val="20"/>
          <w:szCs w:val="20"/>
        </w:rPr>
        <w:t xml:space="preserve">štećenje </w:t>
      </w:r>
      <w:r>
        <w:rPr>
          <w:rFonts w:ascii="Microsoft Sans Serif" w:hAnsi="Microsoft Sans Serif" w:cs="Microsoft Sans Serif"/>
          <w:i/>
          <w:sz w:val="20"/>
          <w:szCs w:val="20"/>
          <w:lang w:val="sr-Cyrl-RS"/>
        </w:rPr>
        <w:t xml:space="preserve">i oštećenje </w:t>
      </w:r>
      <w:r>
        <w:rPr>
          <w:rFonts w:ascii="Microsoft Sans Serif" w:hAnsi="Microsoft Sans Serif" w:cs="Microsoft Sans Serif"/>
          <w:i/>
          <w:sz w:val="20"/>
          <w:szCs w:val="20"/>
        </w:rPr>
        <w:t>funkcije bubrega i jetre:</w:t>
      </w:r>
    </w:p>
    <w:p w14:paraId="6C32D578">
      <w:pPr>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 xml:space="preserve">Primjena NSAIL može izazavati dozno zavisno smanjenje sinteze prostaglanidina i ubrzati pojavu insuficijencije bubrega. Pacijenti sa povišenim rizikom </w:t>
      </w:r>
      <w:r>
        <w:rPr>
          <w:rFonts w:ascii="Microsoft Sans Serif" w:hAnsi="Microsoft Sans Serif" w:cs="Microsoft Sans Serif"/>
          <w:sz w:val="20"/>
          <w:szCs w:val="20"/>
          <w:lang w:val="sr-Cyrl-RS"/>
        </w:rPr>
        <w:t>od ove</w:t>
      </w:r>
      <w:r>
        <w:rPr>
          <w:rFonts w:ascii="Microsoft Sans Serif" w:hAnsi="Microsoft Sans Serif" w:cs="Microsoft Sans Serif"/>
          <w:sz w:val="20"/>
          <w:szCs w:val="20"/>
          <w:lang w:val="mk-MK"/>
        </w:rPr>
        <w:t xml:space="preserve"> reakcije su pacijenti sa oštećenom funkcijom bubrega, oštećenjem srčane funkcije, oštećenom funkcijom jetre, pacijenti koji uzimaju diuretike i stariji pacijenti. </w:t>
      </w:r>
      <w:r>
        <w:rPr>
          <w:rFonts w:ascii="Microsoft Sans Serif" w:hAnsi="Microsoft Sans Serif" w:cs="Microsoft Sans Serif"/>
          <w:sz w:val="20"/>
          <w:szCs w:val="20"/>
          <w:lang w:val="sv-SE"/>
        </w:rPr>
        <w:t>Kod ovih pacijenata treba da se prati bubrežna funkcija (pogledati dio 4.3).</w:t>
      </w:r>
    </w:p>
    <w:p w14:paraId="753460C4">
      <w:pPr>
        <w:pStyle w:val="22"/>
        <w:numPr>
          <w:ilvl w:val="0"/>
          <w:numId w:val="2"/>
        </w:numPr>
        <w:tabs>
          <w:tab w:val="left" w:pos="567"/>
        </w:tabs>
        <w:spacing w:after="0" w:line="240" w:lineRule="auto"/>
        <w:ind w:left="0" w:firstLine="0"/>
        <w:rPr>
          <w:rFonts w:ascii="Microsoft Sans Serif" w:hAnsi="Microsoft Sans Serif" w:cs="Microsoft Sans Serif"/>
          <w:i/>
          <w:sz w:val="20"/>
          <w:szCs w:val="20"/>
        </w:rPr>
      </w:pPr>
      <w:r>
        <w:rPr>
          <w:rFonts w:ascii="Microsoft Sans Serif" w:hAnsi="Microsoft Sans Serif" w:cs="Microsoft Sans Serif"/>
          <w:i/>
          <w:sz w:val="20"/>
          <w:szCs w:val="20"/>
        </w:rPr>
        <w:t>Kardiovaskularni i cerebrovaskularni efekti:</w:t>
      </w:r>
    </w:p>
    <w:p w14:paraId="757128ED">
      <w:pPr>
        <w:tabs>
          <w:tab w:val="left" w:pos="297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 xml:space="preserve">Potreban je </w:t>
      </w:r>
      <w:r>
        <w:rPr>
          <w:rFonts w:ascii="Microsoft Sans Serif" w:hAnsi="Microsoft Sans Serif" w:cs="Microsoft Sans Serif"/>
          <w:sz w:val="20"/>
          <w:szCs w:val="20"/>
          <w:lang w:val="sr-Cyrl-RS"/>
        </w:rPr>
        <w:t>odgovarajući monitoring i medicinski 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 za</w:t>
      </w:r>
      <w:r>
        <w:rPr>
          <w:rFonts w:ascii="Microsoft Sans Serif" w:hAnsi="Microsoft Sans Serif" w:cs="Microsoft Sans Serif"/>
          <w:sz w:val="20"/>
          <w:szCs w:val="20"/>
          <w:lang w:val="mk-MK"/>
        </w:rPr>
        <w:t xml:space="preserve"> liječenje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povišenim krvnim pritiskom ili </w:t>
      </w:r>
      <w:r>
        <w:rPr>
          <w:rFonts w:ascii="Microsoft Sans Serif" w:hAnsi="Microsoft Sans Serif" w:cs="Microsoft Sans Serif"/>
          <w:sz w:val="20"/>
          <w:szCs w:val="20"/>
          <w:lang w:val="sr-Cyrl-RS"/>
        </w:rPr>
        <w:t>blagom do um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erenom kongestivnom </w:t>
      </w:r>
      <w:r>
        <w:rPr>
          <w:rFonts w:ascii="Microsoft Sans Serif" w:hAnsi="Microsoft Sans Serif" w:cs="Microsoft Sans Serif"/>
          <w:sz w:val="20"/>
          <w:szCs w:val="20"/>
          <w:lang w:val="mk-MK"/>
        </w:rPr>
        <w:t>srčanom insuficijencij</w:t>
      </w:r>
      <w:r>
        <w:rPr>
          <w:rFonts w:ascii="Microsoft Sans Serif" w:hAnsi="Microsoft Sans Serif" w:cs="Microsoft Sans Serif"/>
          <w:sz w:val="20"/>
          <w:szCs w:val="20"/>
          <w:lang w:val="sr-Cyrl-RS"/>
        </w:rPr>
        <w:t>om u anamnezi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 xml:space="preserve">s obzirom da su </w:t>
      </w:r>
      <w:r>
        <w:rPr>
          <w:rFonts w:ascii="Microsoft Sans Serif" w:hAnsi="Microsoft Sans Serif" w:cs="Microsoft Sans Serif"/>
          <w:sz w:val="20"/>
          <w:szCs w:val="20"/>
          <w:lang w:val="mk-MK"/>
        </w:rPr>
        <w:t xml:space="preserve">zadržavanje tečnosti i </w:t>
      </w:r>
      <w:r>
        <w:rPr>
          <w:rFonts w:ascii="Microsoft Sans Serif" w:hAnsi="Microsoft Sans Serif" w:cs="Microsoft Sans Serif"/>
          <w:sz w:val="20"/>
          <w:szCs w:val="20"/>
          <w:lang w:val="sr-Cyrl-RS"/>
        </w:rPr>
        <w:t xml:space="preserve">edem </w:t>
      </w:r>
      <w:r>
        <w:rPr>
          <w:rFonts w:ascii="Microsoft Sans Serif" w:hAnsi="Microsoft Sans Serif" w:cs="Microsoft Sans Serif"/>
          <w:sz w:val="20"/>
          <w:szCs w:val="20"/>
          <w:lang w:val="mk-MK"/>
        </w:rPr>
        <w:t>prijavlјeni u vezi sa NSAIL terapijom.</w:t>
      </w:r>
      <w:r>
        <w:rPr>
          <w:rFonts w:ascii="Microsoft Sans Serif" w:hAnsi="Microsoft Sans Serif" w:cs="Microsoft Sans Serif"/>
          <w:sz w:val="20"/>
          <w:szCs w:val="20"/>
          <w:lang w:val="sr-Cyrl-RS"/>
        </w:rPr>
        <w:t xml:space="preserve"> </w:t>
      </w:r>
    </w:p>
    <w:p w14:paraId="113BF154">
      <w:pPr>
        <w:tabs>
          <w:tab w:val="left" w:pos="2977"/>
        </w:tabs>
        <w:rPr>
          <w:rFonts w:ascii="Microsoft Sans Serif" w:hAnsi="Microsoft Sans Serif" w:cs="Microsoft Sans Serif"/>
          <w:sz w:val="20"/>
          <w:szCs w:val="20"/>
          <w:lang w:val="sr-Cyrl-RS"/>
        </w:rPr>
      </w:pP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ispitivanj</w:t>
      </w:r>
      <w:r>
        <w:rPr>
          <w:rFonts w:ascii="Microsoft Sans Serif" w:hAnsi="Microsoft Sans Serif" w:cs="Microsoft Sans Serif"/>
          <w:sz w:val="20"/>
          <w:szCs w:val="20"/>
          <w:lang w:val="sr-Cyrl-RS"/>
        </w:rPr>
        <w:t xml:space="preserve">a pokazuju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w:t>
      </w:r>
      <w:r>
        <w:rPr>
          <w:rFonts w:ascii="Microsoft Sans Serif" w:hAnsi="Microsoft Sans Serif" w:cs="Microsoft Sans Serif"/>
          <w:sz w:val="20"/>
          <w:szCs w:val="20"/>
        </w:rPr>
        <w:t>ibuprofena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(2400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 xml:space="preserve">že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arterijskih tromboemboličkih događaja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infarkt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dani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U cjelini, epidemiološke studije ne navode da su male 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 xml:space="preserve">ibuprofena (npr. ≤ 1200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fr-FR"/>
        </w:rPr>
        <w:t xml:space="preserve"> dnevno) povezane sa povećanim rizikom od </w:t>
      </w:r>
      <w:r>
        <w:rPr>
          <w:rFonts w:ascii="Microsoft Sans Serif" w:hAnsi="Microsoft Sans Serif" w:cs="Microsoft Sans Serif"/>
          <w:sz w:val="20"/>
          <w:szCs w:val="20"/>
          <w:lang w:val="sr-Cyrl-RS"/>
        </w:rPr>
        <w:t>arterijskih tromboemboličkih događaja.</w:t>
      </w:r>
    </w:p>
    <w:p w14:paraId="43A5E64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Pacijenti sa nekontrolisanom hipertenzijom, kongestivnom srčanom insuficijencijom (</w:t>
      </w:r>
      <w:r>
        <w:rPr>
          <w:rFonts w:ascii="Microsoft Sans Serif" w:hAnsi="Microsoft Sans Serif" w:cs="Microsoft Sans Serif"/>
          <w:sz w:val="20"/>
          <w:szCs w:val="20"/>
        </w:rPr>
        <w:t>NYHA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 dijagnostikovanom ishemijom srca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perifernom arterijskom bolesti, i/ili cerebrovaskularnom bolesti se mogu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ečiti ibuprofenom samo nakon pažlјivog razmatranja </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 xml:space="preserv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enu visokih doza (2400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dan</w:t>
      </w:r>
      <w:r>
        <w:rPr>
          <w:rFonts w:ascii="Microsoft Sans Serif" w:hAnsi="Microsoft Sans Serif" w:cs="Microsoft Sans Serif"/>
          <w:sz w:val="20"/>
          <w:szCs w:val="20"/>
          <w:lang w:val="sr-Cyrl-RS"/>
        </w:rPr>
        <w:t>) treba izb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egavati.</w:t>
      </w:r>
    </w:p>
    <w:p w14:paraId="4E80059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takođe treba pažlјivo razmotriti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početka dugotrajne terapije kod pacijenata sa faktorima rizika za kardiovaskularne događaje (npr. hipertenzija, hiperlipidemija, dijabetes melitus, pušenje), posebno ukoliko su potrebn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visoke doze ibuprofena (2400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dan</w:t>
      </w:r>
      <w:r>
        <w:rPr>
          <w:rFonts w:ascii="Microsoft Sans Serif" w:hAnsi="Microsoft Sans Serif" w:cs="Microsoft Sans Serif"/>
          <w:sz w:val="20"/>
          <w:szCs w:val="20"/>
          <w:lang w:val="sr-Cyrl-RS"/>
        </w:rPr>
        <w:t>).</w:t>
      </w:r>
    </w:p>
    <w:p w14:paraId="20624200">
      <w:pPr>
        <w:pStyle w:val="22"/>
        <w:numPr>
          <w:ilvl w:val="0"/>
          <w:numId w:val="2"/>
        </w:numPr>
        <w:autoSpaceDE w:val="0"/>
        <w:autoSpaceDN w:val="0"/>
        <w:adjustRightInd w:val="0"/>
        <w:spacing w:after="0" w:line="240" w:lineRule="auto"/>
        <w:ind w:left="0" w:firstLine="0"/>
        <w:rPr>
          <w:rFonts w:ascii="Microsoft Sans Serif" w:hAnsi="Microsoft Sans Serif" w:cs="Microsoft Sans Serif"/>
          <w:i/>
          <w:iCs/>
          <w:sz w:val="20"/>
          <w:szCs w:val="20"/>
        </w:rPr>
      </w:pPr>
      <w:r>
        <w:rPr>
          <w:rFonts w:ascii="Microsoft Sans Serif" w:hAnsi="Microsoft Sans Serif" w:cs="Microsoft Sans Serif"/>
          <w:i/>
          <w:iCs/>
          <w:sz w:val="20"/>
          <w:szCs w:val="20"/>
        </w:rPr>
        <w:t>Gastrointestinaln</w:t>
      </w:r>
      <w:r>
        <w:rPr>
          <w:rFonts w:ascii="Microsoft Sans Serif" w:hAnsi="Microsoft Sans Serif" w:cs="Microsoft Sans Serif"/>
          <w:i/>
          <w:iCs/>
          <w:sz w:val="20"/>
          <w:szCs w:val="20"/>
          <w:lang w:val="sr-Latn-RS"/>
        </w:rPr>
        <w:t>o krvarenje, ulceracije i perforacije</w:t>
      </w:r>
      <w:r>
        <w:rPr>
          <w:rFonts w:ascii="Microsoft Sans Serif" w:hAnsi="Microsoft Sans Serif" w:cs="Microsoft Sans Serif"/>
          <w:i/>
          <w:iCs/>
          <w:sz w:val="20"/>
          <w:szCs w:val="20"/>
        </w:rPr>
        <w:t>:</w:t>
      </w:r>
    </w:p>
    <w:p w14:paraId="748AC7EC">
      <w:pPr>
        <w:autoSpaceDE w:val="0"/>
        <w:autoSpaceDN w:val="0"/>
        <w:adjustRightInd w:val="0"/>
        <w:rPr>
          <w:rFonts w:ascii="Microsoft Sans Serif" w:hAnsi="Microsoft Sans Serif" w:cs="Microsoft Sans Serif"/>
          <w:iCs/>
          <w:sz w:val="20"/>
          <w:szCs w:val="20"/>
          <w:lang w:val="mk-MK"/>
        </w:rPr>
      </w:pPr>
      <w:r>
        <w:rPr>
          <w:rFonts w:ascii="Microsoft Sans Serif" w:hAnsi="Microsoft Sans Serif" w:cs="Microsoft Sans Serif"/>
          <w:iCs/>
          <w:sz w:val="20"/>
          <w:szCs w:val="20"/>
          <w:lang w:val="mk-MK"/>
        </w:rPr>
        <w:t xml:space="preserve">Gastrointestinalno krvarenje, ulceracija ili perforacija, koji mogu biti </w:t>
      </w:r>
      <w:r>
        <w:rPr>
          <w:rFonts w:ascii="Microsoft Sans Serif" w:hAnsi="Microsoft Sans Serif" w:cs="Microsoft Sans Serif"/>
          <w:iCs/>
          <w:sz w:val="20"/>
          <w:szCs w:val="20"/>
          <w:lang w:val="sr-Cyrl-RS"/>
        </w:rPr>
        <w:t>fatalni,</w:t>
      </w:r>
      <w:r>
        <w:rPr>
          <w:rFonts w:ascii="Microsoft Sans Serif" w:hAnsi="Microsoft Sans Serif" w:cs="Microsoft Sans Serif"/>
          <w:iCs/>
          <w:sz w:val="20"/>
          <w:szCs w:val="20"/>
          <w:lang w:val="mk-MK"/>
        </w:rPr>
        <w:t xml:space="preserve"> prijavlјeni su sa primjenom NSAIL 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mk-MK"/>
        </w:rPr>
        <w:t xml:space="preserve">bilo kom trenutku liječenja, sa ili bez simptoma upozorenja ili </w:t>
      </w:r>
      <w:r>
        <w:rPr>
          <w:rFonts w:ascii="Microsoft Sans Serif" w:hAnsi="Microsoft Sans Serif" w:cs="Microsoft Sans Serif"/>
          <w:iCs/>
          <w:sz w:val="20"/>
          <w:szCs w:val="20"/>
          <w:lang w:val="sr-Cyrl-RS"/>
        </w:rPr>
        <w:t xml:space="preserve">ozbilјnih </w:t>
      </w:r>
      <w:r>
        <w:rPr>
          <w:rFonts w:ascii="Microsoft Sans Serif" w:hAnsi="Microsoft Sans Serif" w:cs="Microsoft Sans Serif"/>
          <w:iCs/>
          <w:sz w:val="20"/>
          <w:szCs w:val="20"/>
          <w:lang w:val="mk-MK"/>
        </w:rPr>
        <w:t>gastrointestinalnih stanja</w:t>
      </w:r>
      <w:r>
        <w:rPr>
          <w:rFonts w:ascii="Microsoft Sans Serif" w:hAnsi="Microsoft Sans Serif" w:cs="Microsoft Sans Serif"/>
          <w:iCs/>
          <w:sz w:val="20"/>
          <w:szCs w:val="20"/>
          <w:lang w:val="sr-Cyrl-RS"/>
        </w:rPr>
        <w:t xml:space="preserve"> u anamnezi</w:t>
      </w:r>
      <w:r>
        <w:rPr>
          <w:rFonts w:ascii="Microsoft Sans Serif" w:hAnsi="Microsoft Sans Serif" w:cs="Microsoft Sans Serif"/>
          <w:iCs/>
          <w:sz w:val="20"/>
          <w:szCs w:val="20"/>
          <w:lang w:val="mk-MK"/>
        </w:rPr>
        <w:t>.</w:t>
      </w:r>
    </w:p>
    <w:p w14:paraId="0B24A558">
      <w:p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mk-MK"/>
        </w:rPr>
        <w:t>Rizik od gastrointestinalnog krvarenja, ulceracije ili perforacije je veći sa povećanjem doza NSAIL, kod 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mk-MK"/>
        </w:rPr>
        <w:t>sa istorijom pepti</w:t>
      </w:r>
      <w:r>
        <w:rPr>
          <w:rFonts w:ascii="Microsoft Sans Serif" w:hAnsi="Microsoft Sans Serif" w:cs="Microsoft Sans Serif"/>
          <w:iCs/>
          <w:sz w:val="20"/>
          <w:szCs w:val="20"/>
          <w:lang w:val="hr-BA"/>
        </w:rPr>
        <w:t>čnog ulkusa</w:t>
      </w:r>
      <w:r>
        <w:rPr>
          <w:rFonts w:ascii="Microsoft Sans Serif" w:hAnsi="Microsoft Sans Serif" w:cs="Microsoft Sans Serif"/>
          <w:iCs/>
          <w:sz w:val="20"/>
          <w:szCs w:val="20"/>
          <w:lang w:val="mk-MK"/>
        </w:rPr>
        <w:t>, posebno sa komplikacijama krvarenja ili perforacijom (pogledati dio 4.3), kao i kod starijih osoba. Ovi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mk-MK"/>
        </w:rPr>
        <w:t>pacijenti bi trebalo da započnu liječenje najmanjom raspoloživom dozom.</w:t>
      </w:r>
      <w:r>
        <w:rPr>
          <w:rFonts w:ascii="Microsoft Sans Serif" w:hAnsi="Microsoft Sans Serif" w:cs="Microsoft Sans Serif"/>
          <w:iCs/>
          <w:sz w:val="20"/>
          <w:szCs w:val="20"/>
          <w:lang w:val="sr-Cyrl-RS"/>
        </w:rPr>
        <w:t xml:space="preserve"> Kod ovih pacijenata</w:t>
      </w:r>
      <w:r>
        <w:rPr>
          <w:rFonts w:ascii="Microsoft Sans Serif" w:hAnsi="Microsoft Sans Serif" w:cs="Microsoft Sans Serif"/>
          <w:iCs/>
          <w:sz w:val="20"/>
          <w:szCs w:val="20"/>
          <w:lang w:val="hr-BA"/>
        </w:rPr>
        <w:t>,</w:t>
      </w:r>
      <w:r>
        <w:rPr>
          <w:rFonts w:ascii="Microsoft Sans Serif" w:hAnsi="Microsoft Sans Serif" w:cs="Microsoft Sans Serif"/>
          <w:iCs/>
          <w:sz w:val="20"/>
          <w:szCs w:val="20"/>
          <w:lang w:val="sr-Cyrl-RS"/>
        </w:rPr>
        <w:t xml:space="preserve"> a takođe i </w:t>
      </w:r>
      <w:r>
        <w:rPr>
          <w:rFonts w:ascii="Microsoft Sans Serif" w:hAnsi="Microsoft Sans Serif" w:cs="Microsoft Sans Serif"/>
          <w:iCs/>
          <w:sz w:val="20"/>
          <w:szCs w:val="20"/>
          <w:lang w:val="sr-Latn-RS"/>
        </w:rPr>
        <w:t>kod</w:t>
      </w:r>
      <w:r>
        <w:rPr>
          <w:rFonts w:ascii="Microsoft Sans Serif" w:hAnsi="Microsoft Sans Serif" w:cs="Microsoft Sans Serif"/>
          <w:iCs/>
          <w:sz w:val="20"/>
          <w:szCs w:val="20"/>
          <w:lang w:val="sr-Cyrl-RS"/>
        </w:rPr>
        <w:t xml:space="preserve"> pacijen</w:t>
      </w:r>
      <w:r>
        <w:rPr>
          <w:rFonts w:ascii="Microsoft Sans Serif" w:hAnsi="Microsoft Sans Serif" w:cs="Microsoft Sans Serif"/>
          <w:iCs/>
          <w:sz w:val="20"/>
          <w:szCs w:val="20"/>
          <w:lang w:val="sr-Latn-RS"/>
        </w:rPr>
        <w:t>a</w:t>
      </w:r>
      <w:r>
        <w:rPr>
          <w:rFonts w:ascii="Microsoft Sans Serif" w:hAnsi="Microsoft Sans Serif" w:cs="Microsoft Sans Serif"/>
          <w:iCs/>
          <w:sz w:val="20"/>
          <w:szCs w:val="20"/>
          <w:lang w:val="sr-Cyrl-RS"/>
        </w:rPr>
        <w:t>t</w:t>
      </w:r>
      <w:r>
        <w:rPr>
          <w:rFonts w:ascii="Microsoft Sans Serif" w:hAnsi="Microsoft Sans Serif" w:cs="Microsoft Sans Serif"/>
          <w:iCs/>
          <w:sz w:val="20"/>
          <w:szCs w:val="20"/>
          <w:lang w:val="sr-Latn-RS"/>
        </w:rPr>
        <w:t>a</w:t>
      </w:r>
      <w:r>
        <w:rPr>
          <w:rFonts w:ascii="Microsoft Sans Serif" w:hAnsi="Microsoft Sans Serif" w:cs="Microsoft Sans Serif"/>
          <w:iCs/>
          <w:sz w:val="20"/>
          <w:szCs w:val="20"/>
          <w:lang w:val="sr-Cyrl-RS"/>
        </w:rPr>
        <w:t xml:space="preserve"> koji zaht</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evaju istovremenu prim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enu nisk</w:t>
      </w:r>
      <w:r>
        <w:rPr>
          <w:rFonts w:ascii="Microsoft Sans Serif" w:hAnsi="Microsoft Sans Serif" w:cs="Microsoft Sans Serif"/>
          <w:iCs/>
          <w:sz w:val="20"/>
          <w:szCs w:val="20"/>
          <w:lang w:val="sr-Latn-RS"/>
        </w:rPr>
        <w:t>ih</w:t>
      </w:r>
      <w:r>
        <w:rPr>
          <w:rFonts w:ascii="Microsoft Sans Serif" w:hAnsi="Microsoft Sans Serif" w:cs="Microsoft Sans Serif"/>
          <w:iCs/>
          <w:sz w:val="20"/>
          <w:szCs w:val="20"/>
          <w:lang w:val="sr-Cyrl-RS"/>
        </w:rPr>
        <w:t xml:space="preserve"> doz</w:t>
      </w:r>
      <w:r>
        <w:rPr>
          <w:rFonts w:ascii="Microsoft Sans Serif" w:hAnsi="Microsoft Sans Serif" w:cs="Microsoft Sans Serif"/>
          <w:iCs/>
          <w:sz w:val="20"/>
          <w:szCs w:val="20"/>
          <w:lang w:val="sr-Latn-RS"/>
        </w:rPr>
        <w:t>a</w:t>
      </w:r>
      <w:r>
        <w:rPr>
          <w:rFonts w:ascii="Microsoft Sans Serif" w:hAnsi="Microsoft Sans Serif" w:cs="Microsoft Sans Serif"/>
          <w:iCs/>
          <w:sz w:val="20"/>
          <w:szCs w:val="20"/>
          <w:lang w:val="sr-Cyrl-RS"/>
        </w:rPr>
        <w:t xml:space="preserve"> acetilsalicilne kiseline ili drugih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ekova koji </w:t>
      </w:r>
      <w:r>
        <w:rPr>
          <w:rFonts w:ascii="Microsoft Sans Serif" w:hAnsi="Microsoft Sans Serif" w:cs="Microsoft Sans Serif"/>
          <w:iCs/>
          <w:sz w:val="20"/>
          <w:szCs w:val="20"/>
          <w:lang w:val="hr-BA"/>
        </w:rPr>
        <w:t>bi mogli</w:t>
      </w:r>
      <w:r>
        <w:rPr>
          <w:rFonts w:ascii="Microsoft Sans Serif" w:hAnsi="Microsoft Sans Serif" w:cs="Microsoft Sans Serif"/>
          <w:iCs/>
          <w:sz w:val="20"/>
          <w:szCs w:val="20"/>
          <w:lang w:val="sr-Cyrl-RS"/>
        </w:rPr>
        <w:t xml:space="preserve"> povećati gastrointestinalni rizik treba razmotriti kombinovanu terapiju protektivnim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ekovima (npr. misopristol ili inhibitori protonske pumpe) (</w:t>
      </w:r>
      <w:r>
        <w:rPr>
          <w:rFonts w:ascii="Microsoft Sans Serif" w:hAnsi="Microsoft Sans Serif" w:cs="Microsoft Sans Serif"/>
          <w:iCs/>
          <w:sz w:val="20"/>
          <w:szCs w:val="20"/>
          <w:lang w:val="sr-Latn-RS"/>
        </w:rPr>
        <w:t>pogledati dio</w:t>
      </w:r>
      <w:r>
        <w:rPr>
          <w:rFonts w:ascii="Microsoft Sans Serif" w:hAnsi="Microsoft Sans Serif" w:cs="Microsoft Sans Serif"/>
          <w:iCs/>
          <w:sz w:val="20"/>
          <w:szCs w:val="20"/>
          <w:lang w:val="sr-Cyrl-RS"/>
        </w:rPr>
        <w:t xml:space="preserve"> 4.5).</w:t>
      </w:r>
    </w:p>
    <w:p w14:paraId="17E7D725">
      <w:pPr>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Pacijenti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istorijom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gastrointestinalne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toksi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nosti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 xml:space="preserve">sebno </w:t>
      </w:r>
      <w:r>
        <w:rPr>
          <w:rFonts w:ascii="Microsoft Sans Serif" w:hAnsi="Microsoft Sans Serif" w:cs="Microsoft Sans Serif"/>
          <w:iCs/>
          <w:sz w:val="20"/>
          <w:szCs w:val="20"/>
        </w:rPr>
        <w:t>starije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osobe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prijave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sve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neuobi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ajene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abdominalne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simptome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naro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ito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gastrointestinalno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krvarenje</w:t>
      </w:r>
      <w:r>
        <w:rPr>
          <w:rFonts w:ascii="Microsoft Sans Serif" w:hAnsi="Microsoft Sans Serif" w:cs="Microsoft Sans Serif"/>
          <w:iCs/>
          <w:sz w:val="20"/>
          <w:szCs w:val="20"/>
          <w:lang w:val="sr-Cyrl-RS"/>
        </w:rPr>
        <w:t xml:space="preserve">), posebno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etnim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fazama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enja</w:t>
      </w:r>
      <w:r>
        <w:rPr>
          <w:rFonts w:ascii="Microsoft Sans Serif" w:hAnsi="Microsoft Sans Serif" w:cs="Microsoft Sans Serif"/>
          <w:iCs/>
          <w:sz w:val="20"/>
          <w:szCs w:val="20"/>
          <w:lang w:val="sr-Cyrl-RS"/>
        </w:rPr>
        <w:t>.</w:t>
      </w:r>
    </w:p>
    <w:p w14:paraId="3435666E">
      <w:pPr>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Savetuje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pacijent</w:t>
      </w:r>
      <w:r>
        <w:rPr>
          <w:rFonts w:ascii="Microsoft Sans Serif" w:hAnsi="Microsoft Sans Serif" w:cs="Microsoft Sans Serif"/>
          <w:iCs/>
          <w:sz w:val="20"/>
          <w:szCs w:val="20"/>
          <w:lang w:val="sr-Cyrl-RS"/>
        </w:rPr>
        <w:t>im</w:t>
      </w:r>
      <w:r>
        <w:rPr>
          <w:rFonts w:ascii="Microsoft Sans Serif" w:hAnsi="Microsoft Sans Serif" w:cs="Microsoft Sans Serif"/>
          <w:iCs/>
          <w:sz w:val="20"/>
          <w:szCs w:val="20"/>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istovremeno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uzimaju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lijekove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mogu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rizik</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ulceracije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krvarenja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kao</w:t>
      </w:r>
      <w:r>
        <w:rPr>
          <w:rFonts w:ascii="Microsoft Sans Serif" w:hAnsi="Microsoft Sans Serif" w:cs="Microsoft Sans Serif"/>
          <w:iCs/>
          <w:sz w:val="20"/>
          <w:szCs w:val="20"/>
          <w:lang w:val="sr-Cyrl-RS"/>
        </w:rPr>
        <w:t xml:space="preserve"> š</w:t>
      </w:r>
      <w:r>
        <w:rPr>
          <w:rFonts w:ascii="Microsoft Sans Serif" w:hAnsi="Microsoft Sans Serif" w:cs="Microsoft Sans Serif"/>
          <w:iCs/>
          <w:sz w:val="20"/>
          <w:szCs w:val="20"/>
        </w:rPr>
        <w:t>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oralni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kortikosteroidi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antikoagulansi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kao</w:t>
      </w:r>
      <w:r>
        <w:rPr>
          <w:rFonts w:ascii="Microsoft Sans Serif" w:hAnsi="Microsoft Sans Serif" w:cs="Microsoft Sans Serif"/>
          <w:iCs/>
          <w:sz w:val="20"/>
          <w:szCs w:val="20"/>
          <w:lang w:val="sr-Cyrl-RS"/>
        </w:rPr>
        <w:t xml:space="preserve"> š</w:t>
      </w:r>
      <w:r>
        <w:rPr>
          <w:rFonts w:ascii="Microsoft Sans Serif" w:hAnsi="Microsoft Sans Serif" w:cs="Microsoft Sans Serif"/>
          <w:iCs/>
          <w:sz w:val="20"/>
          <w:szCs w:val="20"/>
        </w:rPr>
        <w:t>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varfarin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selektivni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inhibitori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preuzimanja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serotonina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antitrombotici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kao</w:t>
      </w:r>
      <w:r>
        <w:rPr>
          <w:rFonts w:ascii="Microsoft Sans Serif" w:hAnsi="Microsoft Sans Serif" w:cs="Microsoft Sans Serif"/>
          <w:iCs/>
          <w:sz w:val="20"/>
          <w:szCs w:val="20"/>
          <w:lang w:val="sr-Cyrl-RS"/>
        </w:rPr>
        <w:t xml:space="preserve"> š</w:t>
      </w:r>
      <w:r>
        <w:rPr>
          <w:rFonts w:ascii="Microsoft Sans Serif" w:hAnsi="Microsoft Sans Serif" w:cs="Microsoft Sans Serif"/>
          <w:iCs/>
          <w:sz w:val="20"/>
          <w:szCs w:val="20"/>
        </w:rPr>
        <w:t>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sz w:val="20"/>
          <w:szCs w:val="20"/>
        </w:rPr>
        <w:t>acetilsalicilna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pogledati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dio</w:t>
      </w:r>
      <w:r>
        <w:rPr>
          <w:rFonts w:ascii="Microsoft Sans Serif" w:hAnsi="Microsoft Sans Serif" w:cs="Microsoft Sans Serif"/>
          <w:iCs/>
          <w:sz w:val="20"/>
          <w:szCs w:val="20"/>
          <w:lang w:val="sr-Cyrl-RS"/>
        </w:rPr>
        <w:t xml:space="preserve"> 4.5).</w:t>
      </w:r>
    </w:p>
    <w:p w14:paraId="7FA76871">
      <w:pPr>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Kada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đ</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pojave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gastrointestinalnog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krvarenja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ulceracije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uzimaju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ibuprofen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terapiju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prekinuti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NSAIL</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ivo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pacijentima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istorijom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gastrointestinalnih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obol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enja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ulcerozni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kolitis</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Kronova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w:t>
      </w:r>
      <w:r>
        <w:rPr>
          <w:rFonts w:ascii="Microsoft Sans Serif" w:hAnsi="Microsoft Sans Serif" w:cs="Microsoft Sans Serif"/>
          <w:iCs/>
          <w:sz w:val="20"/>
          <w:szCs w:val="20"/>
          <w:lang w:val="sr-Cyrl-RS"/>
        </w:rPr>
        <w:t>) jer može doći do njihovog pogoršanja (</w:t>
      </w:r>
      <w:r>
        <w:rPr>
          <w:rFonts w:ascii="Microsoft Sans Serif" w:hAnsi="Microsoft Sans Serif" w:cs="Microsoft Sans Serif"/>
          <w:iCs/>
          <w:sz w:val="20"/>
          <w:szCs w:val="20"/>
        </w:rPr>
        <w:t>pogledati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dio</w:t>
      </w:r>
      <w:r>
        <w:rPr>
          <w:rFonts w:ascii="Microsoft Sans Serif" w:hAnsi="Microsoft Sans Serif" w:cs="Microsoft Sans Serif"/>
          <w:iCs/>
          <w:sz w:val="20"/>
          <w:szCs w:val="20"/>
          <w:lang w:val="sr-Cyrl-RS"/>
        </w:rPr>
        <w:t xml:space="preserve"> 4.8).</w:t>
      </w:r>
    </w:p>
    <w:p w14:paraId="545EB920">
      <w:pPr>
        <w:pStyle w:val="22"/>
        <w:numPr>
          <w:ilvl w:val="0"/>
          <w:numId w:val="2"/>
        </w:numPr>
        <w:autoSpaceDE w:val="0"/>
        <w:autoSpaceDN w:val="0"/>
        <w:adjustRightInd w:val="0"/>
        <w:spacing w:after="0" w:line="240" w:lineRule="auto"/>
        <w:ind w:left="0" w:firstLine="0"/>
        <w:rPr>
          <w:rFonts w:ascii="Microsoft Sans Serif" w:hAnsi="Microsoft Sans Serif" w:cs="Microsoft Sans Serif"/>
          <w:i/>
          <w:sz w:val="20"/>
          <w:szCs w:val="20"/>
        </w:rPr>
      </w:pPr>
      <w:r>
        <w:rPr>
          <w:rFonts w:ascii="Microsoft Sans Serif" w:hAnsi="Microsoft Sans Serif" w:cs="Microsoft Sans Serif"/>
          <w:i/>
          <w:sz w:val="20"/>
          <w:szCs w:val="20"/>
        </w:rPr>
        <w:t>Sistemski</w:t>
      </w:r>
      <w:r>
        <w:rPr>
          <w:rFonts w:ascii="Microsoft Sans Serif" w:hAnsi="Microsoft Sans Serif" w:cs="Microsoft Sans Serif"/>
          <w:i/>
          <w:sz w:val="20"/>
          <w:szCs w:val="20"/>
          <w:lang w:val="sr-Cyrl-RS"/>
        </w:rPr>
        <w:t xml:space="preserve"> eritematozni</w:t>
      </w:r>
      <w:r>
        <w:rPr>
          <w:rFonts w:ascii="Microsoft Sans Serif" w:hAnsi="Microsoft Sans Serif" w:cs="Microsoft Sans Serif"/>
          <w:i/>
          <w:sz w:val="20"/>
          <w:szCs w:val="20"/>
        </w:rPr>
        <w:t xml:space="preserve"> lupus (SLE) i m</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rPr>
        <w:t>ešovita obolјenja vezivnog tkiva:</w:t>
      </w:r>
    </w:p>
    <w:p w14:paraId="50F0E70D">
      <w:pPr>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Pacijenti sa sistemski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mk-MK"/>
        </w:rPr>
        <w:t xml:space="preserve"> er</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mk-MK"/>
        </w:rPr>
        <w:t>tematoznim lupusom (SLE) kao i pacijenti sa mješovitim obolјenjem vezivnog tkiva imaju povećani rizik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aseptičnog meningitisa (pogledati dio 4.8).</w:t>
      </w:r>
    </w:p>
    <w:p w14:paraId="44DCC32D">
      <w:pPr>
        <w:pStyle w:val="22"/>
        <w:numPr>
          <w:ilvl w:val="0"/>
          <w:numId w:val="2"/>
        </w:numPr>
        <w:autoSpaceDE w:val="0"/>
        <w:autoSpaceDN w:val="0"/>
        <w:adjustRightInd w:val="0"/>
        <w:spacing w:after="0" w:line="240" w:lineRule="auto"/>
        <w:ind w:left="0" w:firstLine="0"/>
        <w:rPr>
          <w:rFonts w:ascii="Microsoft Sans Serif" w:hAnsi="Microsoft Sans Serif" w:cs="Microsoft Sans Serif"/>
          <w:i/>
          <w:sz w:val="20"/>
          <w:szCs w:val="20"/>
        </w:rPr>
      </w:pPr>
      <w:r>
        <w:rPr>
          <w:rFonts w:ascii="Microsoft Sans Serif" w:hAnsi="Microsoft Sans Serif" w:cs="Microsoft Sans Serif"/>
          <w:i/>
          <w:sz w:val="20"/>
          <w:szCs w:val="20"/>
          <w:lang w:val="hr-BA"/>
        </w:rPr>
        <w:t>Teške kožne reakcije:</w:t>
      </w:r>
    </w:p>
    <w:p w14:paraId="64386CF0">
      <w:pPr>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Teške kožne reakcije, neke od njih i sa smrtnim ishodom, uklјučujući eksfolijativni dermatitis, Steven-Johnson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mk-MK"/>
        </w:rPr>
        <w:t xml:space="preserve"> sindrom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toksičnu epidermalnu nekrolizu, prijavlјene su </w:t>
      </w: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etko </w:t>
      </w:r>
      <w:r>
        <w:rPr>
          <w:rFonts w:ascii="Microsoft Sans Serif" w:hAnsi="Microsoft Sans Serif" w:cs="Microsoft Sans Serif"/>
          <w:sz w:val="20"/>
          <w:szCs w:val="20"/>
          <w:lang w:val="mk-MK"/>
        </w:rPr>
        <w:t>u vezi sa upotrebom NSAIL (pogledati dio 4.8). Izgleda da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pacijenti pod najvećim rizikom od pojave tih reakcija u ranoj fazi liječenja, početak ovakve reakcije </w:t>
      </w:r>
      <w:r>
        <w:rPr>
          <w:rFonts w:ascii="Microsoft Sans Serif" w:hAnsi="Microsoft Sans Serif" w:cs="Microsoft Sans Serif"/>
          <w:sz w:val="20"/>
          <w:szCs w:val="20"/>
          <w:lang w:val="hr-BA"/>
        </w:rPr>
        <w:t>u</w:t>
      </w:r>
      <w:r>
        <w:rPr>
          <w:rFonts w:ascii="Microsoft Sans Serif" w:hAnsi="Microsoft Sans Serif" w:cs="Microsoft Sans Serif"/>
          <w:sz w:val="20"/>
          <w:szCs w:val="20"/>
          <w:lang w:val="mk-MK"/>
        </w:rPr>
        <w:t xml:space="preserve"> većem broju slučajeva</w:t>
      </w:r>
      <w:r>
        <w:rPr>
          <w:rFonts w:ascii="Microsoft Sans Serif" w:hAnsi="Microsoft Sans Serif" w:cs="Microsoft Sans Serif"/>
          <w:sz w:val="20"/>
          <w:szCs w:val="20"/>
          <w:lang w:val="sr-Cyrl-RS"/>
        </w:rPr>
        <w:t xml:space="preserve"> se javlјa</w:t>
      </w:r>
      <w:r>
        <w:rPr>
          <w:rFonts w:ascii="Microsoft Sans Serif" w:hAnsi="Microsoft Sans Serif" w:cs="Microsoft Sans Serif"/>
          <w:sz w:val="20"/>
          <w:szCs w:val="20"/>
          <w:lang w:val="mk-MK"/>
        </w:rPr>
        <w:t xml:space="preserve"> tokom prvog mjeseca liječenja. Akutna generalizovana egzematozna pustuloza (AGEP) je prijavljena u vezi sa korištenjem proizvoda koji sadrže ibuprofen. Primjenu ovog lijeka treba odmah prekinuti ukoliko dođe do pojave kožnog osipa, mukoznih lezija ili bilo kog drugog znaka preosjetlјivosti.</w:t>
      </w:r>
    </w:p>
    <w:p w14:paraId="63B819FD">
      <w:pPr>
        <w:pStyle w:val="22"/>
        <w:numPr>
          <w:ilvl w:val="0"/>
          <w:numId w:val="2"/>
        </w:numPr>
        <w:spacing w:after="0" w:line="240" w:lineRule="auto"/>
        <w:ind w:left="0" w:firstLine="0"/>
        <w:rPr>
          <w:rFonts w:ascii="Microsoft Sans Serif" w:hAnsi="Microsoft Sans Serif" w:cs="Microsoft Sans Serif"/>
          <w:i/>
          <w:sz w:val="20"/>
          <w:szCs w:val="20"/>
        </w:rPr>
      </w:pPr>
      <w:r>
        <w:rPr>
          <w:rFonts w:ascii="Microsoft Sans Serif" w:hAnsi="Microsoft Sans Serif" w:cs="Microsoft Sans Serif"/>
          <w:i/>
          <w:sz w:val="20"/>
          <w:szCs w:val="20"/>
        </w:rPr>
        <w:t>Pogoršanje plodnosti kod žena:</w:t>
      </w:r>
    </w:p>
    <w:p w14:paraId="28C9E0D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Upotreba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može uticati na plodnost žena pa se zato ne preporučuje upotreba kod žena koje planiraju trudnoću. Kod žena koje imaju poteškoće da zatrudne ili </w:t>
      </w:r>
      <w:r>
        <w:rPr>
          <w:rFonts w:ascii="Microsoft Sans Serif" w:hAnsi="Microsoft Sans Serif" w:cs="Microsoft Sans Serif"/>
          <w:sz w:val="20"/>
          <w:szCs w:val="20"/>
          <w:lang w:val="hr-BA"/>
        </w:rPr>
        <w:t>koje su na pretragama 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BA"/>
        </w:rPr>
        <w:t>ne</w:t>
      </w:r>
      <w:r>
        <w:rPr>
          <w:rFonts w:ascii="Microsoft Sans Serif" w:hAnsi="Microsoft Sans Serif" w:cs="Microsoft Sans Serif"/>
          <w:sz w:val="20"/>
          <w:szCs w:val="20"/>
          <w:lang w:val="sr-Cyrl-RS"/>
        </w:rPr>
        <w:t>plodnost, treba razmotriti obustavu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p>
    <w:p w14:paraId="2F8D129E">
      <w:pPr>
        <w:pStyle w:val="22"/>
        <w:numPr>
          <w:ilvl w:val="0"/>
          <w:numId w:val="2"/>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i/>
          <w:sz w:val="20"/>
          <w:szCs w:val="20"/>
          <w:lang w:val="hr-BA"/>
        </w:rPr>
        <w:t>Prikrivanje simptoma postojećih infekcija</w:t>
      </w:r>
    </w:p>
    <w:p w14:paraId="236AE66C">
      <w:pPr>
        <w:tabs>
          <w:tab w:val="left" w:pos="2160"/>
        </w:tabs>
        <w:rPr>
          <w:rFonts w:ascii="Microsoft Sans Serif" w:hAnsi="Microsoft Sans Serif" w:cs="Microsoft Sans Serif"/>
          <w:sz w:val="20"/>
          <w:lang w:val="sr-Cyrl-RS"/>
        </w:rPr>
      </w:pPr>
      <w:r>
        <w:rPr>
          <w:rFonts w:ascii="Microsoft Sans Serif" w:hAnsi="Microsoft Sans Serif" w:cs="Microsoft Sans Serif"/>
          <w:sz w:val="20"/>
        </w:rPr>
        <w:t>Lijek</w:t>
      </w:r>
      <w:r>
        <w:rPr>
          <w:rFonts w:ascii="Microsoft Sans Serif" w:hAnsi="Microsoft Sans Serif" w:cs="Microsoft Sans Serif"/>
          <w:sz w:val="20"/>
          <w:lang w:val="sr-Cyrl-RS"/>
        </w:rPr>
        <w:t xml:space="preserve"> </w:t>
      </w:r>
      <w:r>
        <w:rPr>
          <w:rFonts w:ascii="Microsoft Sans Serif" w:hAnsi="Microsoft Sans Serif" w:cs="Microsoft Sans Serif"/>
          <w:sz w:val="20"/>
        </w:rPr>
        <w:t>BlokMAX</w:t>
      </w:r>
      <w:r>
        <w:rPr>
          <w:rFonts w:ascii="Microsoft Sans Serif" w:hAnsi="Microsoft Sans Serif" w:cs="Microsoft Sans Serif"/>
          <w:sz w:val="20"/>
          <w:lang w:val="sr-Cyrl-RS"/>
        </w:rPr>
        <w:t xml:space="preserve"> </w:t>
      </w:r>
      <w:r>
        <w:rPr>
          <w:rFonts w:ascii="Microsoft Sans Serif" w:hAnsi="Microsoft Sans Serif" w:cs="Microsoft Sans Serif"/>
          <w:sz w:val="20"/>
        </w:rPr>
        <w:t>Duo</w:t>
      </w:r>
      <w:r>
        <w:rPr>
          <w:rFonts w:ascii="Microsoft Sans Serif" w:hAnsi="Microsoft Sans Serif" w:cs="Microsoft Sans Serif"/>
          <w:sz w:val="20"/>
          <w:lang w:val="sr-Cyrl-RS"/>
        </w:rPr>
        <w:t xml:space="preserve"> </w:t>
      </w:r>
      <w:r>
        <w:rPr>
          <w:rFonts w:ascii="Microsoft Sans Serif" w:hAnsi="Microsoft Sans Serif" w:cs="Microsoft Sans Serif"/>
          <w:sz w:val="20"/>
        </w:rPr>
        <w:t>mo</w:t>
      </w:r>
      <w:r>
        <w:rPr>
          <w:rFonts w:ascii="Microsoft Sans Serif" w:hAnsi="Microsoft Sans Serif" w:cs="Microsoft Sans Serif"/>
          <w:sz w:val="20"/>
          <w:lang w:val="sr-Cyrl-RS"/>
        </w:rPr>
        <w:t>ž</w:t>
      </w:r>
      <w:r>
        <w:rPr>
          <w:rFonts w:ascii="Microsoft Sans Serif" w:hAnsi="Microsoft Sans Serif" w:cs="Microsoft Sans Serif"/>
          <w:sz w:val="20"/>
        </w:rPr>
        <w:t>e</w:t>
      </w:r>
      <w:r>
        <w:rPr>
          <w:rFonts w:ascii="Microsoft Sans Serif" w:hAnsi="Microsoft Sans Serif" w:cs="Microsoft Sans Serif"/>
          <w:sz w:val="20"/>
          <w:lang w:val="sr-Cyrl-RS"/>
        </w:rPr>
        <w:t xml:space="preserve"> </w:t>
      </w:r>
      <w:r>
        <w:rPr>
          <w:rFonts w:ascii="Microsoft Sans Serif" w:hAnsi="Microsoft Sans Serif" w:cs="Microsoft Sans Serif"/>
          <w:sz w:val="20"/>
        </w:rPr>
        <w:t>prikriti</w:t>
      </w:r>
      <w:r>
        <w:rPr>
          <w:rFonts w:ascii="Microsoft Sans Serif" w:hAnsi="Microsoft Sans Serif" w:cs="Microsoft Sans Serif"/>
          <w:sz w:val="20"/>
          <w:lang w:val="sr-Cyrl-RS"/>
        </w:rPr>
        <w:t xml:space="preserve"> </w:t>
      </w:r>
      <w:r>
        <w:rPr>
          <w:rFonts w:ascii="Microsoft Sans Serif" w:hAnsi="Microsoft Sans Serif" w:cs="Microsoft Sans Serif"/>
          <w:sz w:val="20"/>
        </w:rPr>
        <w:t>simptome</w:t>
      </w:r>
      <w:r>
        <w:rPr>
          <w:rFonts w:ascii="Microsoft Sans Serif" w:hAnsi="Microsoft Sans Serif" w:cs="Microsoft Sans Serif"/>
          <w:sz w:val="20"/>
          <w:lang w:val="sr-Cyrl-RS"/>
        </w:rPr>
        <w:t xml:space="preserve"> </w:t>
      </w:r>
      <w:r>
        <w:rPr>
          <w:rFonts w:ascii="Microsoft Sans Serif" w:hAnsi="Microsoft Sans Serif" w:cs="Microsoft Sans Serif"/>
          <w:sz w:val="20"/>
        </w:rPr>
        <w:t>infekcije</w:t>
      </w:r>
      <w:r>
        <w:rPr>
          <w:rFonts w:ascii="Microsoft Sans Serif" w:hAnsi="Microsoft Sans Serif" w:cs="Microsoft Sans Serif"/>
          <w:sz w:val="20"/>
          <w:lang w:val="sr-Cyrl-RS"/>
        </w:rPr>
        <w:t>, š</w:t>
      </w:r>
      <w:r>
        <w:rPr>
          <w:rFonts w:ascii="Microsoft Sans Serif" w:hAnsi="Microsoft Sans Serif" w:cs="Microsoft Sans Serif"/>
          <w:sz w:val="20"/>
        </w:rPr>
        <w:t>to</w:t>
      </w:r>
      <w:r>
        <w:rPr>
          <w:rFonts w:ascii="Microsoft Sans Serif" w:hAnsi="Microsoft Sans Serif" w:cs="Microsoft Sans Serif"/>
          <w:sz w:val="20"/>
          <w:lang w:val="sr-Cyrl-RS"/>
        </w:rPr>
        <w:t xml:space="preserve"> </w:t>
      </w:r>
      <w:r>
        <w:rPr>
          <w:rFonts w:ascii="Microsoft Sans Serif" w:hAnsi="Microsoft Sans Serif" w:cs="Microsoft Sans Serif"/>
          <w:sz w:val="20"/>
        </w:rPr>
        <w:t>mo</w:t>
      </w:r>
      <w:r>
        <w:rPr>
          <w:rFonts w:ascii="Microsoft Sans Serif" w:hAnsi="Microsoft Sans Serif" w:cs="Microsoft Sans Serif"/>
          <w:sz w:val="20"/>
          <w:lang w:val="sr-Cyrl-RS"/>
        </w:rPr>
        <w:t>ž</w:t>
      </w:r>
      <w:r>
        <w:rPr>
          <w:rFonts w:ascii="Microsoft Sans Serif" w:hAnsi="Microsoft Sans Serif" w:cs="Microsoft Sans Serif"/>
          <w:sz w:val="20"/>
        </w:rPr>
        <w:t>e</w:t>
      </w:r>
      <w:r>
        <w:rPr>
          <w:rFonts w:ascii="Microsoft Sans Serif" w:hAnsi="Microsoft Sans Serif" w:cs="Microsoft Sans Serif"/>
          <w:sz w:val="20"/>
          <w:lang w:val="sr-Cyrl-RS"/>
        </w:rPr>
        <w:t xml:space="preserve"> </w:t>
      </w:r>
      <w:r>
        <w:rPr>
          <w:rFonts w:ascii="Microsoft Sans Serif" w:hAnsi="Microsoft Sans Serif" w:cs="Microsoft Sans Serif"/>
          <w:sz w:val="20"/>
        </w:rPr>
        <w:t>odgoditi</w:t>
      </w:r>
      <w:r>
        <w:rPr>
          <w:rFonts w:ascii="Microsoft Sans Serif" w:hAnsi="Microsoft Sans Serif" w:cs="Microsoft Sans Serif"/>
          <w:sz w:val="20"/>
          <w:lang w:val="sr-Cyrl-RS"/>
        </w:rPr>
        <w:t xml:space="preserve"> </w:t>
      </w:r>
      <w:r>
        <w:rPr>
          <w:rFonts w:ascii="Microsoft Sans Serif" w:hAnsi="Microsoft Sans Serif" w:cs="Microsoft Sans Serif"/>
          <w:sz w:val="20"/>
        </w:rPr>
        <w:t>po</w:t>
      </w:r>
      <w:r>
        <w:rPr>
          <w:rFonts w:ascii="Microsoft Sans Serif" w:hAnsi="Microsoft Sans Serif" w:cs="Microsoft Sans Serif"/>
          <w:sz w:val="20"/>
          <w:lang w:val="sr-Cyrl-RS"/>
        </w:rPr>
        <w:t>č</w:t>
      </w:r>
      <w:r>
        <w:rPr>
          <w:rFonts w:ascii="Microsoft Sans Serif" w:hAnsi="Microsoft Sans Serif" w:cs="Microsoft Sans Serif"/>
          <w:sz w:val="20"/>
        </w:rPr>
        <w:t>etak</w:t>
      </w:r>
      <w:r>
        <w:rPr>
          <w:rFonts w:ascii="Microsoft Sans Serif" w:hAnsi="Microsoft Sans Serif" w:cs="Microsoft Sans Serif"/>
          <w:sz w:val="20"/>
          <w:lang w:val="sr-Cyrl-RS"/>
        </w:rPr>
        <w:t xml:space="preserve"> </w:t>
      </w:r>
      <w:r>
        <w:rPr>
          <w:rFonts w:ascii="Microsoft Sans Serif" w:hAnsi="Microsoft Sans Serif" w:cs="Microsoft Sans Serif"/>
          <w:sz w:val="20"/>
        </w:rPr>
        <w:t>odgovaraju</w:t>
      </w:r>
      <w:r>
        <w:rPr>
          <w:rFonts w:ascii="Microsoft Sans Serif" w:hAnsi="Microsoft Sans Serif" w:cs="Microsoft Sans Serif"/>
          <w:sz w:val="20"/>
          <w:lang w:val="sr-Cyrl-RS"/>
        </w:rPr>
        <w:t>ć</w:t>
      </w:r>
      <w:r>
        <w:rPr>
          <w:rFonts w:ascii="Microsoft Sans Serif" w:hAnsi="Microsoft Sans Serif" w:cs="Microsoft Sans Serif"/>
          <w:sz w:val="20"/>
        </w:rPr>
        <w:t>eg</w:t>
      </w:r>
      <w:r>
        <w:rPr>
          <w:rFonts w:ascii="Microsoft Sans Serif" w:hAnsi="Microsoft Sans Serif" w:cs="Microsoft Sans Serif"/>
          <w:sz w:val="20"/>
          <w:lang w:val="sr-Cyrl-RS"/>
        </w:rPr>
        <w:t xml:space="preserve"> </w:t>
      </w: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enja</w:t>
      </w:r>
      <w:r>
        <w:rPr>
          <w:rFonts w:ascii="Microsoft Sans Serif" w:hAnsi="Microsoft Sans Serif" w:cs="Microsoft Sans Serif"/>
          <w:sz w:val="20"/>
          <w:lang w:val="sr-Cyrl-RS"/>
        </w:rPr>
        <w:t xml:space="preserve"> </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tako</w:t>
      </w:r>
      <w:r>
        <w:rPr>
          <w:rFonts w:ascii="Microsoft Sans Serif" w:hAnsi="Microsoft Sans Serif" w:cs="Microsoft Sans Serif"/>
          <w:sz w:val="20"/>
          <w:lang w:val="sr-Cyrl-RS"/>
        </w:rPr>
        <w:t xml:space="preserve"> </w:t>
      </w:r>
      <w:r>
        <w:rPr>
          <w:rFonts w:ascii="Microsoft Sans Serif" w:hAnsi="Microsoft Sans Serif" w:cs="Microsoft Sans Serif"/>
          <w:sz w:val="20"/>
        </w:rPr>
        <w:t>dovesti</w:t>
      </w:r>
      <w:r>
        <w:rPr>
          <w:rFonts w:ascii="Microsoft Sans Serif" w:hAnsi="Microsoft Sans Serif" w:cs="Microsoft Sans Serif"/>
          <w:sz w:val="20"/>
          <w:lang w:val="sr-Cyrl-RS"/>
        </w:rPr>
        <w:t xml:space="preserve"> </w:t>
      </w:r>
      <w:r>
        <w:rPr>
          <w:rFonts w:ascii="Microsoft Sans Serif" w:hAnsi="Microsoft Sans Serif" w:cs="Microsoft Sans Serif"/>
          <w:sz w:val="20"/>
        </w:rPr>
        <w:t>do</w:t>
      </w:r>
      <w:r>
        <w:rPr>
          <w:rFonts w:ascii="Microsoft Sans Serif" w:hAnsi="Microsoft Sans Serif" w:cs="Microsoft Sans Serif"/>
          <w:sz w:val="20"/>
          <w:lang w:val="sr-Cyrl-RS"/>
        </w:rPr>
        <w:t xml:space="preserve"> </w:t>
      </w:r>
      <w:r>
        <w:rPr>
          <w:rFonts w:ascii="Microsoft Sans Serif" w:hAnsi="Microsoft Sans Serif" w:cs="Microsoft Sans Serif"/>
          <w:sz w:val="20"/>
        </w:rPr>
        <w:t>pogor</w:t>
      </w:r>
      <w:r>
        <w:rPr>
          <w:rFonts w:ascii="Microsoft Sans Serif" w:hAnsi="Microsoft Sans Serif" w:cs="Microsoft Sans Serif"/>
          <w:sz w:val="20"/>
          <w:lang w:val="sr-Cyrl-RS"/>
        </w:rPr>
        <w:t>š</w:t>
      </w:r>
      <w:r>
        <w:rPr>
          <w:rFonts w:ascii="Microsoft Sans Serif" w:hAnsi="Microsoft Sans Serif" w:cs="Microsoft Sans Serif"/>
          <w:sz w:val="20"/>
        </w:rPr>
        <w:t>anja</w:t>
      </w:r>
      <w:r>
        <w:rPr>
          <w:rFonts w:ascii="Microsoft Sans Serif" w:hAnsi="Microsoft Sans Serif" w:cs="Microsoft Sans Serif"/>
          <w:sz w:val="20"/>
          <w:lang w:val="sr-Cyrl-RS"/>
        </w:rPr>
        <w:t xml:space="preserve"> </w:t>
      </w:r>
      <w:r>
        <w:rPr>
          <w:rFonts w:ascii="Microsoft Sans Serif" w:hAnsi="Microsoft Sans Serif" w:cs="Microsoft Sans Serif"/>
          <w:sz w:val="20"/>
        </w:rPr>
        <w:t>ishoda</w:t>
      </w:r>
      <w:r>
        <w:rPr>
          <w:rFonts w:ascii="Microsoft Sans Serif" w:hAnsi="Microsoft Sans Serif" w:cs="Microsoft Sans Serif"/>
          <w:sz w:val="20"/>
          <w:lang w:val="sr-Cyrl-RS"/>
        </w:rPr>
        <w:t xml:space="preserve"> </w:t>
      </w:r>
      <w:r>
        <w:rPr>
          <w:rFonts w:ascii="Microsoft Sans Serif" w:hAnsi="Microsoft Sans Serif" w:cs="Microsoft Sans Serif"/>
          <w:sz w:val="20"/>
        </w:rPr>
        <w:t>infekcije</w:t>
      </w:r>
      <w:r>
        <w:rPr>
          <w:rFonts w:ascii="Microsoft Sans Serif" w:hAnsi="Microsoft Sans Serif" w:cs="Microsoft Sans Serif"/>
          <w:sz w:val="20"/>
          <w:lang w:val="sr-Cyrl-RS"/>
        </w:rPr>
        <w:t xml:space="preserve">. </w:t>
      </w:r>
      <w:r>
        <w:rPr>
          <w:rFonts w:ascii="Microsoft Sans Serif" w:hAnsi="Microsoft Sans Serif" w:cs="Microsoft Sans Serif"/>
          <w:sz w:val="20"/>
        </w:rPr>
        <w:t>To</w:t>
      </w:r>
      <w:r>
        <w:rPr>
          <w:rFonts w:ascii="Microsoft Sans Serif" w:hAnsi="Microsoft Sans Serif" w:cs="Microsoft Sans Serif"/>
          <w:sz w:val="20"/>
          <w:lang w:val="sr-Cyrl-RS"/>
        </w:rPr>
        <w:t xml:space="preserve"> </w:t>
      </w:r>
      <w:r>
        <w:rPr>
          <w:rFonts w:ascii="Microsoft Sans Serif" w:hAnsi="Microsoft Sans Serif" w:cs="Microsoft Sans Serif"/>
          <w:sz w:val="20"/>
        </w:rPr>
        <w:t>je</w:t>
      </w:r>
      <w:r>
        <w:rPr>
          <w:rFonts w:ascii="Microsoft Sans Serif" w:hAnsi="Microsoft Sans Serif" w:cs="Microsoft Sans Serif"/>
          <w:sz w:val="20"/>
          <w:lang w:val="sr-Cyrl-RS"/>
        </w:rPr>
        <w:t xml:space="preserve"> </w:t>
      </w:r>
      <w:r>
        <w:rPr>
          <w:rFonts w:ascii="Microsoft Sans Serif" w:hAnsi="Microsoft Sans Serif" w:cs="Microsoft Sans Serif"/>
          <w:sz w:val="20"/>
        </w:rPr>
        <w:t>opa</w:t>
      </w:r>
      <w:r>
        <w:rPr>
          <w:rFonts w:ascii="Microsoft Sans Serif" w:hAnsi="Microsoft Sans Serif" w:cs="Microsoft Sans Serif"/>
          <w:sz w:val="20"/>
          <w:lang w:val="sr-Cyrl-RS"/>
        </w:rPr>
        <w:t>ž</w:t>
      </w:r>
      <w:r>
        <w:rPr>
          <w:rFonts w:ascii="Microsoft Sans Serif" w:hAnsi="Microsoft Sans Serif" w:cs="Microsoft Sans Serif"/>
          <w:sz w:val="20"/>
        </w:rPr>
        <w:t>eno</w:t>
      </w:r>
      <w:r>
        <w:rPr>
          <w:rFonts w:ascii="Microsoft Sans Serif" w:hAnsi="Microsoft Sans Serif" w:cs="Microsoft Sans Serif"/>
          <w:sz w:val="20"/>
          <w:lang w:val="sr-Cyrl-RS"/>
        </w:rPr>
        <w:t xml:space="preserve"> </w:t>
      </w:r>
      <w:r>
        <w:rPr>
          <w:rFonts w:ascii="Microsoft Sans Serif" w:hAnsi="Microsoft Sans Serif" w:cs="Microsoft Sans Serif"/>
          <w:sz w:val="20"/>
        </w:rPr>
        <w:t>kod</w:t>
      </w:r>
      <w:r>
        <w:rPr>
          <w:rFonts w:ascii="Microsoft Sans Serif" w:hAnsi="Microsoft Sans Serif" w:cs="Microsoft Sans Serif"/>
          <w:sz w:val="20"/>
          <w:lang w:val="sr-Cyrl-RS"/>
        </w:rPr>
        <w:t xml:space="preserve"> </w:t>
      </w:r>
      <w:r>
        <w:rPr>
          <w:rFonts w:ascii="Microsoft Sans Serif" w:hAnsi="Microsoft Sans Serif" w:cs="Microsoft Sans Serif"/>
          <w:sz w:val="20"/>
        </w:rPr>
        <w:t>vanbolni</w:t>
      </w:r>
      <w:r>
        <w:rPr>
          <w:rFonts w:ascii="Microsoft Sans Serif" w:hAnsi="Microsoft Sans Serif" w:cs="Microsoft Sans Serif"/>
          <w:sz w:val="20"/>
          <w:lang w:val="sr-Cyrl-RS"/>
        </w:rPr>
        <w:t>č</w:t>
      </w:r>
      <w:r>
        <w:rPr>
          <w:rFonts w:ascii="Microsoft Sans Serif" w:hAnsi="Microsoft Sans Serif" w:cs="Microsoft Sans Serif"/>
          <w:sz w:val="20"/>
        </w:rPr>
        <w:t>ki</w:t>
      </w:r>
      <w:r>
        <w:rPr>
          <w:rFonts w:ascii="Microsoft Sans Serif" w:hAnsi="Microsoft Sans Serif" w:cs="Microsoft Sans Serif"/>
          <w:sz w:val="20"/>
          <w:lang w:val="sr-Cyrl-RS"/>
        </w:rPr>
        <w:t xml:space="preserve"> </w:t>
      </w:r>
      <w:r>
        <w:rPr>
          <w:rFonts w:ascii="Microsoft Sans Serif" w:hAnsi="Microsoft Sans Serif" w:cs="Microsoft Sans Serif"/>
          <w:sz w:val="20"/>
        </w:rPr>
        <w:t>ste</w:t>
      </w:r>
      <w:r>
        <w:rPr>
          <w:rFonts w:ascii="Microsoft Sans Serif" w:hAnsi="Microsoft Sans Serif" w:cs="Microsoft Sans Serif"/>
          <w:sz w:val="20"/>
          <w:lang w:val="sr-Cyrl-RS"/>
        </w:rPr>
        <w:t>č</w:t>
      </w:r>
      <w:r>
        <w:rPr>
          <w:rFonts w:ascii="Microsoft Sans Serif" w:hAnsi="Microsoft Sans Serif" w:cs="Microsoft Sans Serif"/>
          <w:sz w:val="20"/>
        </w:rPr>
        <w:t>ene</w:t>
      </w:r>
      <w:r>
        <w:rPr>
          <w:rFonts w:ascii="Microsoft Sans Serif" w:hAnsi="Microsoft Sans Serif" w:cs="Microsoft Sans Serif"/>
          <w:sz w:val="20"/>
          <w:lang w:val="sr-Cyrl-RS"/>
        </w:rPr>
        <w:t xml:space="preserve"> </w:t>
      </w:r>
      <w:r>
        <w:rPr>
          <w:rFonts w:ascii="Microsoft Sans Serif" w:hAnsi="Microsoft Sans Serif" w:cs="Microsoft Sans Serif"/>
          <w:sz w:val="20"/>
        </w:rPr>
        <w:t>bakterijske</w:t>
      </w:r>
      <w:r>
        <w:rPr>
          <w:rFonts w:ascii="Microsoft Sans Serif" w:hAnsi="Microsoft Sans Serif" w:cs="Microsoft Sans Serif"/>
          <w:sz w:val="20"/>
          <w:lang w:val="sr-Cyrl-RS"/>
        </w:rPr>
        <w:t xml:space="preserve"> </w:t>
      </w:r>
      <w:r>
        <w:rPr>
          <w:rFonts w:ascii="Microsoft Sans Serif" w:hAnsi="Microsoft Sans Serif" w:cs="Microsoft Sans Serif"/>
          <w:sz w:val="20"/>
        </w:rPr>
        <w:t>upale</w:t>
      </w:r>
      <w:r>
        <w:rPr>
          <w:rFonts w:ascii="Microsoft Sans Serif" w:hAnsi="Microsoft Sans Serif" w:cs="Microsoft Sans Serif"/>
          <w:sz w:val="20"/>
          <w:lang w:val="sr-Cyrl-RS"/>
        </w:rPr>
        <w:t xml:space="preserve"> </w:t>
      </w:r>
      <w:r>
        <w:rPr>
          <w:rFonts w:ascii="Microsoft Sans Serif" w:hAnsi="Microsoft Sans Serif" w:cs="Microsoft Sans Serif"/>
          <w:sz w:val="20"/>
        </w:rPr>
        <w:t>plu</w:t>
      </w:r>
      <w:r>
        <w:rPr>
          <w:rFonts w:ascii="Microsoft Sans Serif" w:hAnsi="Microsoft Sans Serif" w:cs="Microsoft Sans Serif"/>
          <w:sz w:val="20"/>
          <w:lang w:val="sr-Cyrl-RS"/>
        </w:rPr>
        <w:t>ć</w:t>
      </w:r>
      <w:r>
        <w:rPr>
          <w:rFonts w:ascii="Microsoft Sans Serif" w:hAnsi="Microsoft Sans Serif" w:cs="Microsoft Sans Serif"/>
          <w:sz w:val="20"/>
        </w:rPr>
        <w:t>a</w:t>
      </w:r>
      <w:r>
        <w:rPr>
          <w:rFonts w:ascii="Microsoft Sans Serif" w:hAnsi="Microsoft Sans Serif" w:cs="Microsoft Sans Serif"/>
          <w:sz w:val="20"/>
          <w:lang w:val="sr-Cyrl-RS"/>
        </w:rPr>
        <w:t xml:space="preserve"> </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bakterijskih</w:t>
      </w:r>
      <w:r>
        <w:rPr>
          <w:rFonts w:ascii="Microsoft Sans Serif" w:hAnsi="Microsoft Sans Serif" w:cs="Microsoft Sans Serif"/>
          <w:sz w:val="20"/>
          <w:lang w:val="sr-Cyrl-RS"/>
        </w:rPr>
        <w:t xml:space="preserve"> </w:t>
      </w:r>
      <w:r>
        <w:rPr>
          <w:rFonts w:ascii="Microsoft Sans Serif" w:hAnsi="Microsoft Sans Serif" w:cs="Microsoft Sans Serif"/>
          <w:sz w:val="20"/>
        </w:rPr>
        <w:t>komplikacija</w:t>
      </w:r>
      <w:r>
        <w:rPr>
          <w:rFonts w:ascii="Microsoft Sans Serif" w:hAnsi="Microsoft Sans Serif" w:cs="Microsoft Sans Serif"/>
          <w:sz w:val="20"/>
          <w:lang w:val="sr-Cyrl-RS"/>
        </w:rPr>
        <w:t xml:space="preserve"> </w:t>
      </w:r>
      <w:r>
        <w:rPr>
          <w:rFonts w:ascii="Microsoft Sans Serif" w:hAnsi="Microsoft Sans Serif" w:cs="Microsoft Sans Serif"/>
          <w:sz w:val="20"/>
        </w:rPr>
        <w:t>povezanih</w:t>
      </w:r>
      <w:r>
        <w:rPr>
          <w:rFonts w:ascii="Microsoft Sans Serif" w:hAnsi="Microsoft Sans Serif" w:cs="Microsoft Sans Serif"/>
          <w:sz w:val="20"/>
          <w:lang w:val="sr-Cyrl-RS"/>
        </w:rPr>
        <w:t xml:space="preserve"> </w:t>
      </w:r>
      <w:r>
        <w:rPr>
          <w:rFonts w:ascii="Microsoft Sans Serif" w:hAnsi="Microsoft Sans Serif" w:cs="Microsoft Sans Serif"/>
          <w:sz w:val="20"/>
        </w:rPr>
        <w:t>sa</w:t>
      </w:r>
      <w:r>
        <w:rPr>
          <w:rFonts w:ascii="Microsoft Sans Serif" w:hAnsi="Microsoft Sans Serif" w:cs="Microsoft Sans Serif"/>
          <w:sz w:val="20"/>
          <w:lang w:val="sr-Cyrl-RS"/>
        </w:rPr>
        <w:t xml:space="preserve"> </w:t>
      </w:r>
      <w:r>
        <w:rPr>
          <w:rFonts w:ascii="Microsoft Sans Serif" w:hAnsi="Microsoft Sans Serif" w:cs="Microsoft Sans Serif"/>
          <w:sz w:val="20"/>
        </w:rPr>
        <w:t>vari</w:t>
      </w:r>
      <w:r>
        <w:rPr>
          <w:rFonts w:ascii="Microsoft Sans Serif" w:hAnsi="Microsoft Sans Serif" w:cs="Microsoft Sans Serif"/>
          <w:sz w:val="20"/>
          <w:lang w:val="sr-Cyrl-RS"/>
        </w:rPr>
        <w:t>č</w:t>
      </w:r>
      <w:r>
        <w:rPr>
          <w:rFonts w:ascii="Microsoft Sans Serif" w:hAnsi="Microsoft Sans Serif" w:cs="Microsoft Sans Serif"/>
          <w:sz w:val="20"/>
        </w:rPr>
        <w:t>elama</w:t>
      </w:r>
      <w:r>
        <w:rPr>
          <w:rFonts w:ascii="Microsoft Sans Serif" w:hAnsi="Microsoft Sans Serif" w:cs="Microsoft Sans Serif"/>
          <w:sz w:val="20"/>
          <w:lang w:val="sr-Cyrl-RS"/>
        </w:rPr>
        <w:t xml:space="preserve">. </w:t>
      </w:r>
      <w:r>
        <w:rPr>
          <w:rFonts w:ascii="Microsoft Sans Serif" w:hAnsi="Microsoft Sans Serif" w:cs="Microsoft Sans Serif"/>
          <w:sz w:val="20"/>
        </w:rPr>
        <w:t>Kada</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lijek</w:t>
      </w:r>
      <w:r>
        <w:rPr>
          <w:rFonts w:ascii="Microsoft Sans Serif" w:hAnsi="Microsoft Sans Serif" w:cs="Microsoft Sans Serif"/>
          <w:sz w:val="20"/>
          <w:lang w:val="sr-Cyrl-RS"/>
        </w:rPr>
        <w:t xml:space="preserve"> </w:t>
      </w:r>
      <w:r>
        <w:rPr>
          <w:rFonts w:ascii="Microsoft Sans Serif" w:hAnsi="Microsoft Sans Serif" w:cs="Microsoft Sans Serif"/>
          <w:sz w:val="20"/>
        </w:rPr>
        <w:t>BlokMAX</w:t>
      </w:r>
      <w:r>
        <w:rPr>
          <w:rFonts w:ascii="Microsoft Sans Serif" w:hAnsi="Microsoft Sans Serif" w:cs="Microsoft Sans Serif"/>
          <w:sz w:val="20"/>
          <w:lang w:val="sr-Cyrl-RS"/>
        </w:rPr>
        <w:t xml:space="preserve"> </w:t>
      </w:r>
      <w:r>
        <w:rPr>
          <w:rFonts w:ascii="Microsoft Sans Serif" w:hAnsi="Microsoft Sans Serif" w:cs="Microsoft Sans Serif"/>
          <w:sz w:val="20"/>
        </w:rPr>
        <w:t>Duo</w:t>
      </w:r>
      <w:r>
        <w:rPr>
          <w:rFonts w:ascii="Microsoft Sans Serif" w:hAnsi="Microsoft Sans Serif" w:cs="Microsoft Sans Serif"/>
          <w:sz w:val="20"/>
          <w:lang w:val="sr-Cyrl-RS"/>
        </w:rPr>
        <w:t xml:space="preserve"> </w:t>
      </w:r>
      <w:r>
        <w:rPr>
          <w:rFonts w:ascii="Microsoft Sans Serif" w:hAnsi="Microsoft Sans Serif" w:cs="Microsoft Sans Serif"/>
          <w:sz w:val="20"/>
        </w:rPr>
        <w:t>primjenjuje</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sni</w:t>
      </w:r>
      <w:r>
        <w:rPr>
          <w:rFonts w:ascii="Microsoft Sans Serif" w:hAnsi="Microsoft Sans Serif" w:cs="Microsoft Sans Serif"/>
          <w:sz w:val="20"/>
          <w:lang w:val="sr-Cyrl-RS"/>
        </w:rPr>
        <w:t>ž</w:t>
      </w:r>
      <w:r>
        <w:rPr>
          <w:rFonts w:ascii="Microsoft Sans Serif" w:hAnsi="Microsoft Sans Serif" w:cs="Microsoft Sans Serif"/>
          <w:sz w:val="20"/>
        </w:rPr>
        <w:t>avanje</w:t>
      </w:r>
      <w:r>
        <w:rPr>
          <w:rFonts w:ascii="Microsoft Sans Serif" w:hAnsi="Microsoft Sans Serif" w:cs="Microsoft Sans Serif"/>
          <w:sz w:val="20"/>
          <w:lang w:val="sr-Cyrl-RS"/>
        </w:rPr>
        <w:t xml:space="preserve"> </w:t>
      </w:r>
      <w:r>
        <w:rPr>
          <w:rFonts w:ascii="Microsoft Sans Serif" w:hAnsi="Microsoft Sans Serif" w:cs="Microsoft Sans Serif"/>
          <w:sz w:val="20"/>
        </w:rPr>
        <w:t>povi</w:t>
      </w:r>
      <w:r>
        <w:rPr>
          <w:rFonts w:ascii="Microsoft Sans Serif" w:hAnsi="Microsoft Sans Serif" w:cs="Microsoft Sans Serif"/>
          <w:sz w:val="20"/>
          <w:lang w:val="sr-Cyrl-RS"/>
        </w:rPr>
        <w:t>š</w:t>
      </w:r>
      <w:r>
        <w:rPr>
          <w:rFonts w:ascii="Microsoft Sans Serif" w:hAnsi="Microsoft Sans Serif" w:cs="Microsoft Sans Serif"/>
          <w:sz w:val="20"/>
        </w:rPr>
        <w:t>ene</w:t>
      </w:r>
      <w:r>
        <w:rPr>
          <w:rFonts w:ascii="Microsoft Sans Serif" w:hAnsi="Microsoft Sans Serif" w:cs="Microsoft Sans Serif"/>
          <w:sz w:val="20"/>
          <w:lang w:val="sr-Cyrl-RS"/>
        </w:rPr>
        <w:t xml:space="preserve"> </w:t>
      </w:r>
      <w:r>
        <w:rPr>
          <w:rFonts w:ascii="Microsoft Sans Serif" w:hAnsi="Microsoft Sans Serif" w:cs="Microsoft Sans Serif"/>
          <w:sz w:val="20"/>
        </w:rPr>
        <w:t>tjelesne</w:t>
      </w:r>
      <w:r>
        <w:rPr>
          <w:rFonts w:ascii="Microsoft Sans Serif" w:hAnsi="Microsoft Sans Serif" w:cs="Microsoft Sans Serif"/>
          <w:sz w:val="20"/>
          <w:lang w:val="sr-Cyrl-RS"/>
        </w:rPr>
        <w:t xml:space="preserve"> </w:t>
      </w:r>
      <w:r>
        <w:rPr>
          <w:rFonts w:ascii="Microsoft Sans Serif" w:hAnsi="Microsoft Sans Serif" w:cs="Microsoft Sans Serif"/>
          <w:sz w:val="20"/>
        </w:rPr>
        <w:t>temperature</w:t>
      </w:r>
      <w:r>
        <w:rPr>
          <w:rFonts w:ascii="Microsoft Sans Serif" w:hAnsi="Microsoft Sans Serif" w:cs="Microsoft Sans Serif"/>
          <w:sz w:val="20"/>
          <w:lang w:val="sr-Cyrl-RS"/>
        </w:rPr>
        <w:t xml:space="preserve"> </w:t>
      </w:r>
      <w:r>
        <w:rPr>
          <w:rFonts w:ascii="Microsoft Sans Serif" w:hAnsi="Microsoft Sans Serif" w:cs="Microsoft Sans Serif"/>
          <w:sz w:val="20"/>
        </w:rPr>
        <w:t>ili</w:t>
      </w:r>
      <w:r>
        <w:rPr>
          <w:rFonts w:ascii="Microsoft Sans Serif" w:hAnsi="Microsoft Sans Serif" w:cs="Microsoft Sans Serif"/>
          <w:sz w:val="20"/>
          <w:lang w:val="sr-Cyrl-RS"/>
        </w:rPr>
        <w:t xml:space="preserve"> </w:t>
      </w:r>
      <w:r>
        <w:rPr>
          <w:rFonts w:ascii="Microsoft Sans Serif" w:hAnsi="Microsoft Sans Serif" w:cs="Microsoft Sans Serif"/>
          <w:sz w:val="20"/>
        </w:rPr>
        <w:t>bolova</w:t>
      </w:r>
      <w:r>
        <w:rPr>
          <w:rFonts w:ascii="Microsoft Sans Serif" w:hAnsi="Microsoft Sans Serif" w:cs="Microsoft Sans Serif"/>
          <w:sz w:val="20"/>
          <w:lang w:val="sr-Cyrl-RS"/>
        </w:rPr>
        <w:t xml:space="preserve"> </w:t>
      </w:r>
      <w:r>
        <w:rPr>
          <w:rFonts w:ascii="Microsoft Sans Serif" w:hAnsi="Microsoft Sans Serif" w:cs="Microsoft Sans Serif"/>
          <w:sz w:val="20"/>
        </w:rPr>
        <w:t>povezanih</w:t>
      </w:r>
      <w:r>
        <w:rPr>
          <w:rFonts w:ascii="Microsoft Sans Serif" w:hAnsi="Microsoft Sans Serif" w:cs="Microsoft Sans Serif"/>
          <w:sz w:val="20"/>
          <w:lang w:val="sr-Cyrl-RS"/>
        </w:rPr>
        <w:t xml:space="preserve"> </w:t>
      </w:r>
      <w:r>
        <w:rPr>
          <w:rFonts w:ascii="Microsoft Sans Serif" w:hAnsi="Microsoft Sans Serif" w:cs="Microsoft Sans Serif"/>
          <w:sz w:val="20"/>
        </w:rPr>
        <w:t>sa</w:t>
      </w:r>
      <w:r>
        <w:rPr>
          <w:rFonts w:ascii="Microsoft Sans Serif" w:hAnsi="Microsoft Sans Serif" w:cs="Microsoft Sans Serif"/>
          <w:sz w:val="20"/>
          <w:lang w:val="sr-Cyrl-RS"/>
        </w:rPr>
        <w:t xml:space="preserve"> </w:t>
      </w:r>
      <w:r>
        <w:rPr>
          <w:rFonts w:ascii="Microsoft Sans Serif" w:hAnsi="Microsoft Sans Serif" w:cs="Microsoft Sans Serif"/>
          <w:sz w:val="20"/>
        </w:rPr>
        <w:t>infekcijom</w:t>
      </w:r>
      <w:r>
        <w:rPr>
          <w:rFonts w:ascii="Microsoft Sans Serif" w:hAnsi="Microsoft Sans Serif" w:cs="Microsoft Sans Serif"/>
          <w:sz w:val="20"/>
          <w:lang w:val="sr-Cyrl-RS"/>
        </w:rPr>
        <w:t xml:space="preserve">, </w:t>
      </w:r>
      <w:r>
        <w:rPr>
          <w:rFonts w:ascii="Microsoft Sans Serif" w:hAnsi="Microsoft Sans Serif" w:cs="Microsoft Sans Serif"/>
          <w:sz w:val="20"/>
        </w:rPr>
        <w:t>preporu</w:t>
      </w:r>
      <w:r>
        <w:rPr>
          <w:rFonts w:ascii="Microsoft Sans Serif" w:hAnsi="Microsoft Sans Serif" w:cs="Microsoft Sans Serif"/>
          <w:sz w:val="20"/>
          <w:lang w:val="sr-Cyrl-RS"/>
        </w:rPr>
        <w:t>č</w:t>
      </w:r>
      <w:r>
        <w:rPr>
          <w:rFonts w:ascii="Microsoft Sans Serif" w:hAnsi="Microsoft Sans Serif" w:cs="Microsoft Sans Serif"/>
          <w:sz w:val="20"/>
        </w:rPr>
        <w:t>uje</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pra</w:t>
      </w:r>
      <w:r>
        <w:rPr>
          <w:rFonts w:ascii="Microsoft Sans Serif" w:hAnsi="Microsoft Sans Serif" w:cs="Microsoft Sans Serif"/>
          <w:sz w:val="20"/>
          <w:lang w:val="sr-Cyrl-RS"/>
        </w:rPr>
        <w:t>ć</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infekcije</w:t>
      </w:r>
      <w:r>
        <w:rPr>
          <w:rFonts w:ascii="Microsoft Sans Serif" w:hAnsi="Microsoft Sans Serif" w:cs="Microsoft Sans Serif"/>
          <w:sz w:val="20"/>
          <w:lang w:val="sr-Cyrl-RS"/>
        </w:rPr>
        <w:t xml:space="preserve">. </w:t>
      </w:r>
      <w:r>
        <w:rPr>
          <w:rFonts w:ascii="Microsoft Sans Serif" w:hAnsi="Microsoft Sans Serif" w:cs="Microsoft Sans Serif"/>
          <w:sz w:val="20"/>
        </w:rPr>
        <w:t>U</w:t>
      </w:r>
      <w:r>
        <w:rPr>
          <w:rFonts w:ascii="Microsoft Sans Serif" w:hAnsi="Microsoft Sans Serif" w:cs="Microsoft Sans Serif"/>
          <w:sz w:val="20"/>
          <w:lang w:val="sr-Cyrl-RS"/>
        </w:rPr>
        <w:t xml:space="preserve"> </w:t>
      </w:r>
      <w:r>
        <w:rPr>
          <w:rFonts w:ascii="Microsoft Sans Serif" w:hAnsi="Microsoft Sans Serif" w:cs="Microsoft Sans Serif"/>
          <w:sz w:val="20"/>
        </w:rPr>
        <w:t>vanbolni</w:t>
      </w:r>
      <w:r>
        <w:rPr>
          <w:rFonts w:ascii="Microsoft Sans Serif" w:hAnsi="Microsoft Sans Serif" w:cs="Microsoft Sans Serif"/>
          <w:sz w:val="20"/>
          <w:lang w:val="sr-Cyrl-RS"/>
        </w:rPr>
        <w:t>č</w:t>
      </w:r>
      <w:r>
        <w:rPr>
          <w:rFonts w:ascii="Microsoft Sans Serif" w:hAnsi="Microsoft Sans Serif" w:cs="Microsoft Sans Serif"/>
          <w:sz w:val="20"/>
        </w:rPr>
        <w:t>kim</w:t>
      </w:r>
      <w:r>
        <w:rPr>
          <w:rFonts w:ascii="Microsoft Sans Serif" w:hAnsi="Microsoft Sans Serif" w:cs="Microsoft Sans Serif"/>
          <w:sz w:val="20"/>
          <w:lang w:val="sr-Cyrl-RS"/>
        </w:rPr>
        <w:t xml:space="preserve"> </w:t>
      </w:r>
      <w:r>
        <w:rPr>
          <w:rFonts w:ascii="Microsoft Sans Serif" w:hAnsi="Microsoft Sans Serif" w:cs="Microsoft Sans Serif"/>
          <w:sz w:val="20"/>
        </w:rPr>
        <w:t>okru</w:t>
      </w:r>
      <w:r>
        <w:rPr>
          <w:rFonts w:ascii="Microsoft Sans Serif" w:hAnsi="Microsoft Sans Serif" w:cs="Microsoft Sans Serif"/>
          <w:sz w:val="20"/>
          <w:lang w:val="sr-Cyrl-RS"/>
        </w:rPr>
        <w:t>ž</w:t>
      </w:r>
      <w:r>
        <w:rPr>
          <w:rFonts w:ascii="Microsoft Sans Serif" w:hAnsi="Microsoft Sans Serif" w:cs="Microsoft Sans Serif"/>
          <w:sz w:val="20"/>
        </w:rPr>
        <w:t>enjima</w:t>
      </w:r>
      <w:r>
        <w:rPr>
          <w:rFonts w:ascii="Microsoft Sans Serif" w:hAnsi="Microsoft Sans Serif" w:cs="Microsoft Sans Serif"/>
          <w:sz w:val="20"/>
          <w:lang w:val="sr-Cyrl-RS"/>
        </w:rPr>
        <w:t xml:space="preserve">, </w:t>
      </w:r>
      <w:r>
        <w:rPr>
          <w:rFonts w:ascii="Microsoft Sans Serif" w:hAnsi="Microsoft Sans Serif" w:cs="Microsoft Sans Serif"/>
          <w:sz w:val="20"/>
        </w:rPr>
        <w:t>pacijent</w:t>
      </w:r>
      <w:r>
        <w:rPr>
          <w:rFonts w:ascii="Microsoft Sans Serif" w:hAnsi="Microsoft Sans Serif" w:cs="Microsoft Sans Serif"/>
          <w:sz w:val="20"/>
          <w:lang w:val="sr-Cyrl-RS"/>
        </w:rPr>
        <w:t xml:space="preserve"> </w:t>
      </w:r>
      <w:r>
        <w:rPr>
          <w:rFonts w:ascii="Microsoft Sans Serif" w:hAnsi="Microsoft Sans Serif" w:cs="Microsoft Sans Serif"/>
          <w:sz w:val="20"/>
        </w:rPr>
        <w:t>bi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trebao</w:t>
      </w:r>
      <w:r>
        <w:rPr>
          <w:rFonts w:ascii="Microsoft Sans Serif" w:hAnsi="Microsoft Sans Serif" w:cs="Microsoft Sans Serif"/>
          <w:sz w:val="20"/>
          <w:lang w:val="sr-Cyrl-RS"/>
        </w:rPr>
        <w:t xml:space="preserve"> </w:t>
      </w:r>
      <w:r>
        <w:rPr>
          <w:rFonts w:ascii="Microsoft Sans Serif" w:hAnsi="Microsoft Sans Serif" w:cs="Microsoft Sans Serif"/>
          <w:sz w:val="20"/>
        </w:rPr>
        <w:t>obratiti</w:t>
      </w:r>
      <w:r>
        <w:rPr>
          <w:rFonts w:ascii="Microsoft Sans Serif" w:hAnsi="Microsoft Sans Serif" w:cs="Microsoft Sans Serif"/>
          <w:sz w:val="20"/>
          <w:lang w:val="sr-Cyrl-RS"/>
        </w:rPr>
        <w:t xml:space="preserve"> </w:t>
      </w:r>
      <w:r>
        <w:rPr>
          <w:rFonts w:ascii="Microsoft Sans Serif" w:hAnsi="Microsoft Sans Serif" w:cs="Microsoft Sans Serif"/>
          <w:sz w:val="20"/>
        </w:rPr>
        <w:t>ljekaru</w:t>
      </w:r>
      <w:r>
        <w:rPr>
          <w:rFonts w:ascii="Microsoft Sans Serif" w:hAnsi="Microsoft Sans Serif" w:cs="Microsoft Sans Serif"/>
          <w:sz w:val="20"/>
          <w:lang w:val="sr-Cyrl-RS"/>
        </w:rPr>
        <w:t xml:space="preserve"> </w:t>
      </w:r>
      <w:r>
        <w:rPr>
          <w:rFonts w:ascii="Microsoft Sans Serif" w:hAnsi="Microsoft Sans Serif" w:cs="Microsoft Sans Serif"/>
          <w:sz w:val="20"/>
        </w:rPr>
        <w:t>ako</w:t>
      </w:r>
      <w:r>
        <w:rPr>
          <w:rFonts w:ascii="Microsoft Sans Serif" w:hAnsi="Microsoft Sans Serif" w:cs="Microsoft Sans Serif"/>
          <w:sz w:val="20"/>
          <w:lang w:val="sr-Cyrl-RS"/>
        </w:rPr>
        <w:t xml:space="preserve"> </w:t>
      </w:r>
      <w:r>
        <w:rPr>
          <w:rFonts w:ascii="Microsoft Sans Serif" w:hAnsi="Microsoft Sans Serif" w:cs="Microsoft Sans Serif"/>
          <w:sz w:val="20"/>
        </w:rPr>
        <w:t>simptomi</w:t>
      </w:r>
      <w:r>
        <w:rPr>
          <w:rFonts w:ascii="Microsoft Sans Serif" w:hAnsi="Microsoft Sans Serif" w:cs="Microsoft Sans Serif"/>
          <w:sz w:val="20"/>
          <w:lang w:val="sr-Cyrl-RS"/>
        </w:rPr>
        <w:t xml:space="preserve"> </w:t>
      </w:r>
      <w:r>
        <w:rPr>
          <w:rFonts w:ascii="Microsoft Sans Serif" w:hAnsi="Microsoft Sans Serif" w:cs="Microsoft Sans Serif"/>
          <w:sz w:val="20"/>
        </w:rPr>
        <w:t>potraju</w:t>
      </w:r>
      <w:r>
        <w:rPr>
          <w:rFonts w:ascii="Microsoft Sans Serif" w:hAnsi="Microsoft Sans Serif" w:cs="Microsoft Sans Serif"/>
          <w:sz w:val="20"/>
          <w:lang w:val="sr-Cyrl-RS"/>
        </w:rPr>
        <w:t xml:space="preserve"> </w:t>
      </w:r>
      <w:r>
        <w:rPr>
          <w:rFonts w:ascii="Microsoft Sans Serif" w:hAnsi="Microsoft Sans Serif" w:cs="Microsoft Sans Serif"/>
          <w:sz w:val="20"/>
        </w:rPr>
        <w:t>ili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pogor</w:t>
      </w:r>
      <w:r>
        <w:rPr>
          <w:rFonts w:ascii="Microsoft Sans Serif" w:hAnsi="Microsoft Sans Serif" w:cs="Microsoft Sans Serif"/>
          <w:sz w:val="20"/>
          <w:lang w:val="sr-Cyrl-RS"/>
        </w:rPr>
        <w:t>š</w:t>
      </w:r>
      <w:r>
        <w:rPr>
          <w:rFonts w:ascii="Microsoft Sans Serif" w:hAnsi="Microsoft Sans Serif" w:cs="Microsoft Sans Serif"/>
          <w:sz w:val="20"/>
        </w:rPr>
        <w:t>aju</w:t>
      </w:r>
      <w:r>
        <w:rPr>
          <w:rFonts w:ascii="Microsoft Sans Serif" w:hAnsi="Microsoft Sans Serif" w:cs="Microsoft Sans Serif"/>
          <w:sz w:val="20"/>
          <w:lang w:val="sr-Cyrl-RS"/>
        </w:rPr>
        <w:t xml:space="preserve">. </w:t>
      </w:r>
    </w:p>
    <w:p w14:paraId="63C38174">
      <w:pPr>
        <w:rPr>
          <w:rFonts w:ascii="Microsoft Sans Serif" w:hAnsi="Microsoft Sans Serif" w:cs="Microsoft Sans Serif"/>
          <w:sz w:val="20"/>
          <w:szCs w:val="20"/>
          <w:lang w:val="sr-Cyrl-RS"/>
        </w:rPr>
      </w:pPr>
    </w:p>
    <w:p w14:paraId="5E4A27D0">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w:t>
      </w:r>
      <w:r>
        <w:rPr>
          <w:rFonts w:ascii="Microsoft Sans Serif" w:hAnsi="Microsoft Sans Serif" w:cs="Microsoft Sans Serif"/>
          <w:b/>
          <w:bCs/>
          <w:sz w:val="20"/>
          <w:szCs w:val="20"/>
          <w:lang w:val="sr-Latn-RS"/>
        </w:rPr>
        <w:t xml:space="preserve">i oblici </w:t>
      </w:r>
      <w:r>
        <w:rPr>
          <w:rFonts w:ascii="Microsoft Sans Serif" w:hAnsi="Microsoft Sans Serif" w:cs="Microsoft Sans Serif"/>
          <w:b/>
          <w:bCs/>
          <w:sz w:val="20"/>
          <w:szCs w:val="20"/>
          <w:lang w:val="sv-SE"/>
        </w:rPr>
        <w:t>interakcija</w:t>
      </w:r>
    </w:p>
    <w:p w14:paraId="5DE64D3F">
      <w:pPr>
        <w:autoSpaceDE w:val="0"/>
        <w:autoSpaceDN w:val="0"/>
        <w:adjustRightInd w:val="0"/>
        <w:rPr>
          <w:rFonts w:ascii="Microsoft Sans Serif" w:hAnsi="Microsoft Sans Serif" w:cs="Microsoft Sans Serif"/>
          <w:b/>
          <w:sz w:val="20"/>
          <w:szCs w:val="20"/>
          <w:lang w:val="sr-Cyrl-RS"/>
        </w:rPr>
      </w:pPr>
    </w:p>
    <w:p w14:paraId="672E5F4C">
      <w:pPr>
        <w:rPr>
          <w:rFonts w:ascii="Microsoft Sans Serif" w:hAnsi="Microsoft Sans Serif" w:cs="Microsoft Sans Serif"/>
          <w:sz w:val="20"/>
          <w:szCs w:val="20"/>
          <w:lang w:val="sr-Cyrl-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mol</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4.3).</w:t>
      </w:r>
    </w:p>
    <w:p w14:paraId="790AD8A6">
      <w:pPr>
        <w:rPr>
          <w:rFonts w:ascii="Microsoft Sans Serif" w:hAnsi="Microsoft Sans Serif" w:cs="Microsoft Sans Serif"/>
          <w:sz w:val="20"/>
          <w:szCs w:val="20"/>
          <w:lang w:val="sr-Cyrl-RS"/>
        </w:rPr>
      </w:pPr>
    </w:p>
    <w:p w14:paraId="302643AE">
      <w:pPr>
        <w:rPr>
          <w:rFonts w:ascii="Microsoft Sans Serif" w:hAnsi="Microsoft Sans Serif" w:cs="Microsoft Sans Serif"/>
          <w:sz w:val="20"/>
          <w:szCs w:val="20"/>
          <w:lang w:val="sr-Cyrl-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ibuprofen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w:t>
      </w:r>
    </w:p>
    <w:p w14:paraId="46FF28ED">
      <w:pPr>
        <w:tabs>
          <w:tab w:val="left" w:pos="426"/>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Acetilsalicilnom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ibuprofena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acetilsalicilne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dejstava</w:t>
      </w:r>
      <w:r>
        <w:rPr>
          <w:rFonts w:ascii="Microsoft Sans Serif" w:hAnsi="Microsoft Sans Serif" w:cs="Microsoft Sans Serif"/>
          <w:sz w:val="20"/>
          <w:szCs w:val="20"/>
          <w:lang w:val="sr-Cyrl-RS"/>
        </w:rPr>
        <w:t>.</w:t>
      </w:r>
    </w:p>
    <w:p w14:paraId="45D1E736">
      <w:pPr>
        <w:tabs>
          <w:tab w:val="left" w:pos="426"/>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selektivne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COX</w:t>
      </w:r>
      <w:r>
        <w:rPr>
          <w:rFonts w:ascii="Microsoft Sans Serif" w:hAnsi="Microsoft Sans Serif" w:cs="Microsoft Sans Serif"/>
          <w:sz w:val="20"/>
          <w:szCs w:val="20"/>
          <w:lang w:val="sr-Cyrl-RS"/>
        </w:rPr>
        <w:t xml:space="preserve">-2 </w:t>
      </w:r>
      <w:r>
        <w:rPr>
          <w:rFonts w:ascii="Microsoft Sans Serif" w:hAnsi="Microsoft Sans Serif" w:cs="Microsoft Sans Serif"/>
          <w:sz w:val="20"/>
          <w:szCs w:val="20"/>
        </w:rPr>
        <w:t>inhibitore</w:t>
      </w:r>
      <w:r>
        <w:rPr>
          <w:rFonts w:ascii="Microsoft Sans Serif" w:hAnsi="Microsoft Sans Serif" w:cs="Microsoft Sans Serif"/>
          <w:sz w:val="20"/>
          <w:szCs w:val="20"/>
          <w:lang w:val="sr-Cyrl-RS"/>
        </w:rPr>
        <w:t xml:space="preserve">, zbog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ano</w:t>
      </w:r>
      <w:r>
        <w:rPr>
          <w:rFonts w:ascii="Microsoft Sans Serif" w:hAnsi="Microsoft Sans Serif" w:cs="Microsoft Sans Serif"/>
          <w:sz w:val="20"/>
          <w:szCs w:val="20"/>
          <w:lang w:val="sr-Cyrl-RS"/>
        </w:rPr>
        <w:t xml:space="preserve">g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4.3).</w:t>
      </w:r>
    </w:p>
    <w:p w14:paraId="209FD7AA">
      <w:pPr>
        <w:rPr>
          <w:rFonts w:ascii="Microsoft Sans Serif" w:hAnsi="Microsoft Sans Serif" w:cs="Microsoft Sans Serif"/>
          <w:sz w:val="20"/>
          <w:szCs w:val="20"/>
          <w:lang w:val="sr-Cyrl-RS"/>
        </w:rPr>
      </w:pPr>
    </w:p>
    <w:p w14:paraId="2F214E74">
      <w:pPr>
        <w:rPr>
          <w:rFonts w:ascii="Microsoft Sans Serif" w:hAnsi="Microsoft Sans Serif" w:cs="Microsoft Sans Serif"/>
          <w:sz w:val="20"/>
          <w:szCs w:val="20"/>
          <w:lang w:val="sr-Latn-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w:t>
      </w:r>
      <w:r>
        <w:rPr>
          <w:rFonts w:ascii="Microsoft Sans Serif" w:hAnsi="Microsoft Sans Serif" w:cs="Microsoft Sans Serif"/>
          <w:sz w:val="20"/>
          <w:szCs w:val="20"/>
          <w:lang w:val="sr-Cyrl-RS"/>
        </w:rPr>
        <w:t>а</w:t>
      </w:r>
      <w:r>
        <w:rPr>
          <w:rFonts w:ascii="Microsoft Sans Serif" w:hAnsi="Microsoft Sans Serif" w:cs="Microsoft Sans Serif"/>
          <w:sz w:val="20"/>
          <w:szCs w:val="20"/>
        </w:rPr>
        <w:t>cetamol</w:t>
      </w:r>
      <w:r>
        <w:rPr>
          <w:rFonts w:ascii="Microsoft Sans Serif" w:hAnsi="Microsoft Sans Serif" w:cs="Microsoft Sans Serif"/>
          <w:sz w:val="20"/>
          <w:szCs w:val="20"/>
          <w:lang w:val="sr-Cyrl-RS"/>
        </w:rPr>
        <w:t>) treba koristiti sa oprezom u kombinaciji sa:</w:t>
      </w:r>
    </w:p>
    <w:p w14:paraId="2BCB8CBC">
      <w:pPr>
        <w:pStyle w:val="22"/>
        <w:numPr>
          <w:ilvl w:val="0"/>
          <w:numId w:val="2"/>
        </w:numPr>
        <w:tabs>
          <w:tab w:val="left"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Hloramfenikolom: može doći do povećanja koncentracija hloramfenikola u plazmi.</w:t>
      </w:r>
    </w:p>
    <w:p w14:paraId="08CB6157">
      <w:pPr>
        <w:pStyle w:val="22"/>
        <w:numPr>
          <w:ilvl w:val="0"/>
          <w:numId w:val="2"/>
        </w:numPr>
        <w:tabs>
          <w:tab w:val="left"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Flukloksacilin</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Potreban je oprez pri isto</w:t>
      </w:r>
      <w:r>
        <w:rPr>
          <w:rFonts w:ascii="Microsoft Sans Serif" w:hAnsi="Microsoft Sans Serif" w:cs="Microsoft Sans Serif"/>
          <w:sz w:val="20"/>
          <w:szCs w:val="20"/>
          <w:lang w:val="sr-Latn-RS"/>
        </w:rPr>
        <w:t>vremenoj</w:t>
      </w:r>
      <w:r>
        <w:rPr>
          <w:rFonts w:ascii="Microsoft Sans Serif" w:hAnsi="Microsoft Sans Serif" w:cs="Microsoft Sans Serif"/>
          <w:sz w:val="20"/>
          <w:szCs w:val="20"/>
          <w:lang w:val="sr-Cyrl-RS"/>
        </w:rPr>
        <w:t xml:space="preserve"> primjeni paracetamola i flukloksacilina jer je isto</w:t>
      </w:r>
      <w:r>
        <w:rPr>
          <w:rFonts w:ascii="Microsoft Sans Serif" w:hAnsi="Microsoft Sans Serif" w:cs="Microsoft Sans Serif"/>
          <w:sz w:val="20"/>
          <w:szCs w:val="20"/>
          <w:lang w:val="sr-Latn-RS"/>
        </w:rPr>
        <w:t>vremeno</w:t>
      </w:r>
      <w:r>
        <w:rPr>
          <w:rFonts w:ascii="Microsoft Sans Serif" w:hAnsi="Microsoft Sans Serif" w:cs="Microsoft Sans Serif"/>
          <w:sz w:val="20"/>
          <w:szCs w:val="20"/>
          <w:lang w:val="sr-Cyrl-RS"/>
        </w:rPr>
        <w:t xml:space="preserve"> uzimanje tih lijekova povezano s</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metaboličkom acidozom s povišenim an</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onskim procjepom, posebno </w:t>
      </w:r>
      <w:r>
        <w:rPr>
          <w:rFonts w:ascii="Microsoft Sans Serif" w:hAnsi="Microsoft Sans Serif" w:cs="Microsoft Sans Serif"/>
          <w:sz w:val="20"/>
          <w:szCs w:val="20"/>
          <w:lang w:val="sr-Latn-RS"/>
        </w:rPr>
        <w:t>kod pacijenata kod</w:t>
      </w:r>
      <w:r>
        <w:rPr>
          <w:rFonts w:ascii="Microsoft Sans Serif" w:hAnsi="Microsoft Sans Serif" w:cs="Microsoft Sans Serif"/>
          <w:sz w:val="20"/>
          <w:szCs w:val="20"/>
          <w:lang w:val="sr-Cyrl-RS"/>
        </w:rPr>
        <w:t xml:space="preserve"> kojih su prisutni </w:t>
      </w:r>
      <w:r>
        <w:rPr>
          <w:rFonts w:ascii="Microsoft Sans Serif" w:hAnsi="Microsoft Sans Serif" w:cs="Microsoft Sans Serif"/>
          <w:sz w:val="20"/>
          <w:szCs w:val="20"/>
          <w:lang w:val="sr-Latn-RS"/>
        </w:rPr>
        <w:t>faktori</w:t>
      </w:r>
      <w:r>
        <w:rPr>
          <w:rFonts w:ascii="Microsoft Sans Serif" w:hAnsi="Microsoft Sans Serif" w:cs="Microsoft Sans Serif"/>
          <w:sz w:val="20"/>
          <w:szCs w:val="20"/>
          <w:lang w:val="sr-Cyrl-RS"/>
        </w:rPr>
        <w:t xml:space="preserve"> rizika (</w:t>
      </w:r>
      <w:r>
        <w:rPr>
          <w:rFonts w:ascii="Microsoft Sans Serif" w:hAnsi="Microsoft Sans Serif" w:cs="Microsoft Sans Serif"/>
          <w:sz w:val="20"/>
          <w:szCs w:val="20"/>
          <w:lang w:val="sr-Latn-RS"/>
        </w:rPr>
        <w:t>pogledat</w:t>
      </w:r>
      <w:r>
        <w:rPr>
          <w:rFonts w:ascii="Microsoft Sans Serif" w:hAnsi="Microsoft Sans Serif" w:cs="Microsoft Sans Serif"/>
          <w:sz w:val="20"/>
          <w:szCs w:val="20"/>
          <w:lang w:val="sr-Cyrl-RS"/>
        </w:rPr>
        <w:t>i dio 4.4).</w:t>
      </w:r>
    </w:p>
    <w:p w14:paraId="3AE2E4E9">
      <w:pPr>
        <w:pStyle w:val="22"/>
        <w:numPr>
          <w:ilvl w:val="0"/>
          <w:numId w:val="2"/>
        </w:numPr>
        <w:tabs>
          <w:tab w:val="left"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Holestiraminom: </w:t>
      </w:r>
      <w:r>
        <w:rPr>
          <w:rFonts w:ascii="Microsoft Sans Serif" w:hAnsi="Microsoft Sans Serif" w:cs="Microsoft Sans Serif"/>
          <w:sz w:val="20"/>
          <w:szCs w:val="20"/>
          <w:lang w:val="hr-BA"/>
        </w:rPr>
        <w:t xml:space="preserve">holestiramin smanjuje </w:t>
      </w:r>
      <w:r>
        <w:rPr>
          <w:rFonts w:ascii="Microsoft Sans Serif" w:hAnsi="Microsoft Sans Serif" w:cs="Microsoft Sans Serif"/>
          <w:sz w:val="20"/>
          <w:szCs w:val="20"/>
          <w:lang w:val="sr-Cyrl-RS"/>
        </w:rPr>
        <w:t>brzin</w:t>
      </w:r>
      <w:r>
        <w:rPr>
          <w:rFonts w:ascii="Microsoft Sans Serif" w:hAnsi="Microsoft Sans Serif" w:cs="Microsoft Sans Serif"/>
          <w:sz w:val="20"/>
          <w:szCs w:val="20"/>
          <w:lang w:val="sr-Latn-RS"/>
        </w:rPr>
        <w:t>u</w:t>
      </w:r>
      <w:r>
        <w:rPr>
          <w:rFonts w:ascii="Microsoft Sans Serif" w:hAnsi="Microsoft Sans Serif" w:cs="Microsoft Sans Serif"/>
          <w:sz w:val="20"/>
          <w:szCs w:val="20"/>
          <w:lang w:val="sr-Cyrl-RS"/>
        </w:rPr>
        <w:t xml:space="preserve"> resorpcije paracetamola. Zbog toga, ako je potrebna maksimalna analgezija</w:t>
      </w:r>
      <w:r>
        <w:rPr>
          <w:rFonts w:ascii="Microsoft Sans Serif" w:hAnsi="Microsoft Sans Serif" w:cs="Microsoft Sans Serif"/>
          <w:sz w:val="20"/>
          <w:szCs w:val="20"/>
          <w:lang w:val="hr-BA"/>
        </w:rPr>
        <w:t>,</w:t>
      </w:r>
      <w:r>
        <w:rPr>
          <w:rFonts w:ascii="Microsoft Sans Serif" w:hAnsi="Microsoft Sans Serif" w:cs="Microsoft Sans Serif"/>
          <w:sz w:val="20"/>
          <w:szCs w:val="20"/>
          <w:lang w:val="sr-Cyrl-RS"/>
        </w:rPr>
        <w:t xml:space="preserve"> holestiramin ne treba uzimati u toku sat</w:t>
      </w:r>
      <w:r>
        <w:rPr>
          <w:rFonts w:ascii="Microsoft Sans Serif" w:hAnsi="Microsoft Sans Serif" w:cs="Microsoft Sans Serif"/>
          <w:sz w:val="20"/>
          <w:szCs w:val="20"/>
          <w:lang w:val="hr-BA"/>
        </w:rPr>
        <w:t xml:space="preserve"> vremena od uzimanja lijeka</w:t>
      </w:r>
      <w:r>
        <w:rPr>
          <w:rFonts w:ascii="Microsoft Sans Serif" w:hAnsi="Microsoft Sans Serif" w:cs="Microsoft Sans Serif"/>
          <w:sz w:val="20"/>
          <w:szCs w:val="20"/>
          <w:lang w:val="sr-Cyrl-RS"/>
        </w:rPr>
        <w:t>.</w:t>
      </w:r>
    </w:p>
    <w:p w14:paraId="2D74859A">
      <w:pPr>
        <w:pStyle w:val="22"/>
        <w:numPr>
          <w:ilvl w:val="0"/>
          <w:numId w:val="2"/>
        </w:numPr>
        <w:tabs>
          <w:tab w:val="left"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Metoklopramidom i domperidonom: </w:t>
      </w:r>
      <w:r>
        <w:rPr>
          <w:rFonts w:ascii="Microsoft Sans Serif" w:hAnsi="Microsoft Sans Serif" w:cs="Microsoft Sans Serif"/>
          <w:sz w:val="20"/>
          <w:szCs w:val="20"/>
          <w:lang w:val="hr-BA"/>
        </w:rPr>
        <w:t xml:space="preserve">metokloramid i domperidon povećavaju </w:t>
      </w:r>
      <w:r>
        <w:rPr>
          <w:rFonts w:ascii="Microsoft Sans Serif" w:hAnsi="Microsoft Sans Serif" w:cs="Microsoft Sans Serif"/>
          <w:sz w:val="20"/>
          <w:szCs w:val="20"/>
          <w:lang w:val="sr-Cyrl-RS"/>
        </w:rPr>
        <w:t>resorpcij</w:t>
      </w:r>
      <w:r>
        <w:rPr>
          <w:rFonts w:ascii="Microsoft Sans Serif" w:hAnsi="Microsoft Sans Serif" w:cs="Microsoft Sans Serif"/>
          <w:sz w:val="20"/>
          <w:szCs w:val="20"/>
          <w:lang w:val="sr-Latn-RS"/>
        </w:rPr>
        <w:t>u</w:t>
      </w:r>
      <w:r>
        <w:rPr>
          <w:rFonts w:ascii="Microsoft Sans Serif" w:hAnsi="Microsoft Sans Serif" w:cs="Microsoft Sans Serif"/>
          <w:sz w:val="20"/>
          <w:szCs w:val="20"/>
          <w:lang w:val="sr-Cyrl-RS"/>
        </w:rPr>
        <w:t xml:space="preserve"> paracetamola. </w:t>
      </w:r>
      <w:r>
        <w:rPr>
          <w:rFonts w:ascii="Microsoft Sans Serif" w:hAnsi="Microsoft Sans Serif" w:cs="Microsoft Sans Serif"/>
          <w:sz w:val="20"/>
          <w:szCs w:val="20"/>
          <w:lang w:val="hr-BA"/>
        </w:rPr>
        <w:t xml:space="preserve">Međutim, ne mora se </w:t>
      </w:r>
      <w:r>
        <w:rPr>
          <w:rFonts w:ascii="Microsoft Sans Serif" w:hAnsi="Microsoft Sans Serif" w:cs="Microsoft Sans Serif"/>
          <w:sz w:val="20"/>
          <w:szCs w:val="20"/>
          <w:lang w:val="sr-Cyrl-RS"/>
        </w:rPr>
        <w:t>izb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egavati istovremen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upotreb</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hr-BA"/>
        </w:rPr>
        <w:t xml:space="preserve"> ovih lijekova</w:t>
      </w:r>
      <w:r>
        <w:rPr>
          <w:rFonts w:ascii="Microsoft Sans Serif" w:hAnsi="Microsoft Sans Serif" w:cs="Microsoft Sans Serif"/>
          <w:sz w:val="20"/>
          <w:szCs w:val="20"/>
          <w:lang w:val="sr-Cyrl-RS"/>
        </w:rPr>
        <w:t>.</w:t>
      </w:r>
    </w:p>
    <w:p w14:paraId="6A363F4E">
      <w:pPr>
        <w:pStyle w:val="22"/>
        <w:numPr>
          <w:ilvl w:val="0"/>
          <w:numId w:val="2"/>
        </w:numPr>
        <w:tabs>
          <w:tab w:val="left"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Varfarinom: produženom redovnom upotrebom paracetamola se može pojačati antikoagulaciono dejstvo varfarina i drugih kumarinskih derivata sa povećanim rizikom </w:t>
      </w:r>
      <w:r>
        <w:rPr>
          <w:rFonts w:ascii="Microsoft Sans Serif" w:hAnsi="Microsoft Sans Serif" w:cs="Microsoft Sans Serif"/>
          <w:sz w:val="20"/>
          <w:szCs w:val="20"/>
          <w:lang w:val="sr-Latn-RS"/>
        </w:rPr>
        <w:t>od</w:t>
      </w:r>
      <w:r>
        <w:rPr>
          <w:rFonts w:ascii="Microsoft Sans Serif" w:hAnsi="Microsoft Sans Serif" w:cs="Microsoft Sans Serif"/>
          <w:sz w:val="20"/>
          <w:szCs w:val="20"/>
          <w:lang w:val="sr-Cyrl-RS"/>
        </w:rPr>
        <w:t xml:space="preserve"> krvarenja; povremena upotreba nema značajno dejstvo.</w:t>
      </w:r>
    </w:p>
    <w:p w14:paraId="3E2795C9">
      <w:pPr>
        <w:pStyle w:val="22"/>
        <w:spacing w:after="0" w:line="240" w:lineRule="auto"/>
        <w:ind w:left="0"/>
        <w:jc w:val="both"/>
        <w:rPr>
          <w:rFonts w:ascii="Microsoft Sans Serif" w:hAnsi="Microsoft Sans Serif" w:cs="Microsoft Sans Serif"/>
          <w:sz w:val="20"/>
          <w:szCs w:val="20"/>
          <w:lang w:val="sr-Cyrl-RS"/>
        </w:rPr>
      </w:pPr>
    </w:p>
    <w:p w14:paraId="0FAA22EE">
      <w:pPr>
        <w:rPr>
          <w:rFonts w:ascii="Microsoft Sans Serif" w:hAnsi="Microsoft Sans Serif" w:cs="Microsoft Sans Serif"/>
          <w:sz w:val="20"/>
          <w:szCs w:val="20"/>
          <w:lang w:val="sr-Cyrl-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ibuprofen i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 treba koristiti sa oprezom u kombinaciji sa:</w:t>
      </w:r>
    </w:p>
    <w:p w14:paraId="0D0AAEF3">
      <w:pPr>
        <w:pStyle w:val="22"/>
        <w:numPr>
          <w:ilvl w:val="0"/>
          <w:numId w:val="3"/>
        </w:numPr>
        <w:tabs>
          <w:tab w:val="center"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Antikoagulansima: NSAIL mogu pojačati dejstvo antikoagulanasa, npr. varfarin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6DE65360">
      <w:pPr>
        <w:pStyle w:val="22"/>
        <w:numPr>
          <w:ilvl w:val="0"/>
          <w:numId w:val="3"/>
        </w:numPr>
        <w:tabs>
          <w:tab w:val="center"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Antihipertenzivima: NSAIL mo</w:t>
      </w:r>
      <w:r>
        <w:rPr>
          <w:rFonts w:ascii="Microsoft Sans Serif" w:hAnsi="Microsoft Sans Serif" w:cs="Microsoft Sans Serif"/>
          <w:sz w:val="20"/>
          <w:szCs w:val="20"/>
          <w:lang w:val="hr-BA"/>
        </w:rPr>
        <w:t>gu</w:t>
      </w:r>
      <w:r>
        <w:rPr>
          <w:rFonts w:ascii="Microsoft Sans Serif" w:hAnsi="Microsoft Sans Serif" w:cs="Microsoft Sans Serif"/>
          <w:sz w:val="20"/>
          <w:szCs w:val="20"/>
          <w:lang w:val="sr-Cyrl-RS"/>
        </w:rPr>
        <w:t xml:space="preserve"> smanjiti efekte ovih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ekova.</w:t>
      </w:r>
    </w:p>
    <w:p w14:paraId="3819856F">
      <w:pPr>
        <w:pStyle w:val="22"/>
        <w:numPr>
          <w:ilvl w:val="0"/>
          <w:numId w:val="3"/>
        </w:numPr>
        <w:tabs>
          <w:tab w:val="center"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Antiagregacionim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ekovima i selektivnim inhibitorima ponovnog preuzimanja serotonina (SSRI): povećan rizik od </w:t>
      </w:r>
      <w:r>
        <w:rPr>
          <w:rFonts w:ascii="Microsoft Sans Serif" w:hAnsi="Microsoft Sans Serif" w:cs="Microsoft Sans Serif"/>
          <w:sz w:val="20"/>
          <w:szCs w:val="20"/>
          <w:lang w:val="hr-BA"/>
        </w:rPr>
        <w:t xml:space="preserve">pojave </w:t>
      </w:r>
      <w:r>
        <w:rPr>
          <w:rFonts w:ascii="Microsoft Sans Serif" w:hAnsi="Microsoft Sans Serif" w:cs="Microsoft Sans Serif"/>
          <w:sz w:val="20"/>
          <w:szCs w:val="20"/>
          <w:lang w:val="sr-Cyrl-RS"/>
        </w:rPr>
        <w:t>gastrointestinalnog krvarenja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4620BB08">
      <w:pPr>
        <w:pStyle w:val="22"/>
        <w:numPr>
          <w:ilvl w:val="0"/>
          <w:numId w:val="3"/>
        </w:numPr>
        <w:tabs>
          <w:tab w:val="center" w:pos="426"/>
        </w:tabs>
        <w:autoSpaceDE w:val="0"/>
        <w:autoSpaceDN w:val="0"/>
        <w:adjustRightInd w:val="0"/>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Acetilsalicilnom kiselinom:</w:t>
      </w:r>
      <w:r>
        <w:rPr>
          <w:rFonts w:ascii="Microsoft Sans Serif" w:hAnsi="Microsoft Sans Serif" w:cs="Microsoft Sans Serif"/>
          <w:sz w:val="20"/>
          <w:szCs w:val="20"/>
        </w:rPr>
        <w:t xml:space="preserve"> Eksperimentalni podaci navode da ibuprofen može</w:t>
      </w:r>
      <w:r>
        <w:rPr>
          <w:rFonts w:ascii="Microsoft Sans Serif" w:hAnsi="Microsoft Sans Serif" w:cs="Microsoft Sans Serif"/>
          <w:sz w:val="20"/>
          <w:szCs w:val="20"/>
          <w:lang w:val="sr-Cyrl-RS"/>
        </w:rPr>
        <w:t xml:space="preserve"> kompetitivno</w:t>
      </w:r>
      <w:r>
        <w:rPr>
          <w:rFonts w:ascii="Microsoft Sans Serif" w:hAnsi="Microsoft Sans Serif" w:cs="Microsoft Sans Serif"/>
          <w:sz w:val="20"/>
          <w:szCs w:val="20"/>
        </w:rPr>
        <w:t xml:space="preserve"> da inhibira dejstvo niskih doza a</w:t>
      </w:r>
      <w:r>
        <w:rPr>
          <w:rFonts w:ascii="Microsoft Sans Serif" w:hAnsi="Microsoft Sans Serif" w:cs="Microsoft Sans Serif"/>
          <w:sz w:val="20"/>
          <w:szCs w:val="20"/>
          <w:lang w:val="sr-Cyrl-RS"/>
        </w:rPr>
        <w:t>cetilsalicilne kiseline</w:t>
      </w:r>
      <w:r>
        <w:rPr>
          <w:rFonts w:ascii="Microsoft Sans Serif" w:hAnsi="Microsoft Sans Serif" w:cs="Microsoft Sans Serif"/>
          <w:sz w:val="20"/>
          <w:szCs w:val="20"/>
        </w:rPr>
        <w:t xml:space="preserve"> na ag</w:t>
      </w:r>
      <w:r>
        <w:rPr>
          <w:rFonts w:ascii="Microsoft Sans Serif" w:hAnsi="Microsoft Sans Serif" w:cs="Microsoft Sans Serif"/>
          <w:sz w:val="20"/>
          <w:szCs w:val="20"/>
          <w:lang w:val="sr-Cyrl-RS"/>
        </w:rPr>
        <w:t xml:space="preserve">regaciju </w:t>
      </w:r>
      <w:r>
        <w:rPr>
          <w:rFonts w:ascii="Microsoft Sans Serif" w:hAnsi="Microsoft Sans Serif" w:cs="Microsoft Sans Serif"/>
          <w:sz w:val="20"/>
          <w:szCs w:val="20"/>
        </w:rPr>
        <w:t>trombocita kada</w:t>
      </w:r>
      <w:r>
        <w:rPr>
          <w:rFonts w:ascii="Microsoft Sans Serif" w:hAnsi="Microsoft Sans Serif" w:cs="Microsoft Sans Serif"/>
          <w:sz w:val="20"/>
          <w:szCs w:val="20"/>
          <w:lang w:val="sr-Cyrl-RS"/>
        </w:rPr>
        <w:t xml:space="preserve"> se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enjuju</w:t>
      </w:r>
      <w:r>
        <w:rPr>
          <w:rFonts w:ascii="Microsoft Sans Serif" w:hAnsi="Microsoft Sans Serif" w:cs="Microsoft Sans Serif"/>
          <w:sz w:val="20"/>
          <w:szCs w:val="20"/>
        </w:rPr>
        <w:t xml:space="preserve"> istovremeno.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ako postoje neizv</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esnosti u pogledu ekstrapolacije ovih podataka na kliničku situaciju, ne može se isklјučiti mogućnost da re</w:t>
      </w:r>
      <w:r>
        <w:rPr>
          <w:rFonts w:ascii="Microsoft Sans Serif" w:hAnsi="Microsoft Sans Serif" w:cs="Microsoft Sans Serif"/>
          <w:sz w:val="20"/>
          <w:szCs w:val="20"/>
          <w:lang w:val="hr-BA"/>
        </w:rPr>
        <w:t>dovna</w:t>
      </w:r>
      <w:r>
        <w:rPr>
          <w:rFonts w:ascii="Microsoft Sans Serif" w:hAnsi="Microsoft Sans Serif" w:cs="Microsoft Sans Serif"/>
          <w:sz w:val="20"/>
          <w:szCs w:val="20"/>
        </w:rPr>
        <w:t xml:space="preserve">, dugotrajna upotreba ibuprofena </w:t>
      </w:r>
      <w:r>
        <w:rPr>
          <w:rFonts w:ascii="Microsoft Sans Serif" w:hAnsi="Microsoft Sans Serif" w:cs="Microsoft Sans Serif"/>
          <w:sz w:val="20"/>
          <w:szCs w:val="20"/>
          <w:lang w:val="sr-Cyrl-RS"/>
        </w:rPr>
        <w:t>može smanjiti</w:t>
      </w:r>
      <w:r>
        <w:rPr>
          <w:rFonts w:ascii="Microsoft Sans Serif" w:hAnsi="Microsoft Sans Serif" w:cs="Microsoft Sans Serif"/>
          <w:sz w:val="20"/>
          <w:szCs w:val="20"/>
        </w:rPr>
        <w:t xml:space="preserve"> kardioprotektivni efekat niske doze acetilsalicilne kiseline. </w:t>
      </w:r>
      <w:r>
        <w:rPr>
          <w:rFonts w:ascii="Microsoft Sans Serif" w:hAnsi="Microsoft Sans Serif" w:cs="Microsoft Sans Serif"/>
          <w:sz w:val="20"/>
          <w:szCs w:val="20"/>
          <w:lang w:val="sr-Cyrl-RS"/>
        </w:rPr>
        <w:t xml:space="preserve">Nema </w:t>
      </w:r>
      <w:r>
        <w:rPr>
          <w:rFonts w:ascii="Microsoft Sans Serif" w:hAnsi="Microsoft Sans Serif" w:cs="Microsoft Sans Serif"/>
          <w:sz w:val="20"/>
          <w:szCs w:val="20"/>
        </w:rPr>
        <w:t>klinički relevantnog efekta koji se smatra v</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erovatnim kod povremene upotrebe ibuprofena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rPr>
        <w:t xml:space="preserve"> 5</w:t>
      </w:r>
      <w:r>
        <w:rPr>
          <w:rFonts w:ascii="Microsoft Sans Serif" w:hAnsi="Microsoft Sans Serif" w:cs="Microsoft Sans Serif"/>
          <w:sz w:val="20"/>
          <w:szCs w:val="20"/>
          <w:lang w:val="sr-Cyrl-RS"/>
        </w:rPr>
        <w:t>.1</w:t>
      </w:r>
      <w:r>
        <w:rPr>
          <w:rFonts w:ascii="Microsoft Sans Serif" w:hAnsi="Microsoft Sans Serif" w:cs="Microsoft Sans Serif"/>
          <w:sz w:val="20"/>
          <w:szCs w:val="20"/>
        </w:rPr>
        <w:t>).</w:t>
      </w:r>
    </w:p>
    <w:p w14:paraId="70B3F539">
      <w:pPr>
        <w:numPr>
          <w:ilvl w:val="0"/>
          <w:numId w:val="4"/>
        </w:numPr>
        <w:tabs>
          <w:tab w:val="left" w:pos="426"/>
          <w:tab w:val="clear" w:pos="284"/>
        </w:tabs>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Kardiotoničnim glikozidima: NSAIL mogu pogoršati srčanu insuficijenciju, smanjiti brzinu glomerularne filtracije i povećati koncentraciju glikozida u plazmi.</w:t>
      </w:r>
    </w:p>
    <w:p w14:paraId="42D38B4F">
      <w:pPr>
        <w:numPr>
          <w:ilvl w:val="0"/>
          <w:numId w:val="4"/>
        </w:numPr>
        <w:tabs>
          <w:tab w:val="left" w:pos="426"/>
          <w:tab w:val="clear" w:pos="284"/>
        </w:tabs>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Ciklosporinom: povećan tizik od nefrotoksičnosti.</w:t>
      </w:r>
    </w:p>
    <w:p w14:paraId="48943C6D">
      <w:pPr>
        <w:numPr>
          <w:ilvl w:val="0"/>
          <w:numId w:val="4"/>
        </w:numPr>
        <w:tabs>
          <w:tab w:val="left" w:pos="426"/>
          <w:tab w:val="clear" w:pos="284"/>
        </w:tabs>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Kortikosteroidima: povećan rizik od pojave gastrointestinaln</w:t>
      </w:r>
      <w:r>
        <w:rPr>
          <w:rFonts w:ascii="Microsoft Sans Serif" w:hAnsi="Microsoft Sans Serif" w:cs="Microsoft Sans Serif"/>
          <w:sz w:val="20"/>
          <w:szCs w:val="20"/>
          <w:lang w:val="sr-Cyrl-RS"/>
        </w:rPr>
        <w:t>og ulkusa ili</w:t>
      </w:r>
      <w:r>
        <w:rPr>
          <w:rFonts w:ascii="Microsoft Sans Serif" w:hAnsi="Microsoft Sans Serif" w:cs="Microsoft Sans Serif"/>
          <w:sz w:val="20"/>
          <w:szCs w:val="20"/>
          <w:lang w:val="mk-MK"/>
        </w:rPr>
        <w:t xml:space="preserve"> krvarenja (pogledati dio 4.4)</w:t>
      </w:r>
    </w:p>
    <w:p w14:paraId="79DEFC8F">
      <w:pPr>
        <w:numPr>
          <w:ilvl w:val="0"/>
          <w:numId w:val="4"/>
        </w:numPr>
        <w:tabs>
          <w:tab w:val="left" w:pos="426"/>
          <w:tab w:val="clear" w:pos="284"/>
        </w:tabs>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Diureticima: </w:t>
      </w:r>
      <w:r>
        <w:rPr>
          <w:rFonts w:ascii="Microsoft Sans Serif" w:hAnsi="Microsoft Sans Serif" w:cs="Microsoft Sans Serif"/>
          <w:sz w:val="20"/>
          <w:szCs w:val="20"/>
          <w:lang w:val="hr-BA"/>
        </w:rPr>
        <w:t>s</w:t>
      </w:r>
      <w:r>
        <w:rPr>
          <w:rFonts w:ascii="Microsoft Sans Serif" w:hAnsi="Microsoft Sans Serif" w:cs="Microsoft Sans Serif"/>
          <w:sz w:val="20"/>
          <w:szCs w:val="20"/>
          <w:lang w:val="sr-Cyrl-RS"/>
        </w:rPr>
        <w:t>manjen efekat diuretika. Diuretici mogu povećati rizik od nefrotoksičnosti NSAIL.</w:t>
      </w:r>
    </w:p>
    <w:p w14:paraId="7A8BE76B">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Litijumom: </w:t>
      </w:r>
      <w:r>
        <w:rPr>
          <w:rFonts w:ascii="Microsoft Sans Serif" w:hAnsi="Microsoft Sans Serif" w:cs="Microsoft Sans Serif"/>
          <w:sz w:val="20"/>
          <w:szCs w:val="20"/>
          <w:lang w:val="hr-BA"/>
        </w:rPr>
        <w:t>s</w:t>
      </w:r>
      <w:r>
        <w:rPr>
          <w:rFonts w:ascii="Microsoft Sans Serif" w:hAnsi="Microsoft Sans Serif" w:cs="Microsoft Sans Serif"/>
          <w:sz w:val="20"/>
          <w:szCs w:val="20"/>
          <w:lang w:val="sr-Cyrl-RS"/>
        </w:rPr>
        <w:t>manjena eliminacija litijuma.</w:t>
      </w:r>
    </w:p>
    <w:p w14:paraId="6439DC3F">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M</w:t>
      </w:r>
      <w:r>
        <w:rPr>
          <w:rFonts w:ascii="Microsoft Sans Serif" w:hAnsi="Microsoft Sans Serif" w:cs="Microsoft Sans Serif"/>
          <w:sz w:val="20"/>
          <w:szCs w:val="20"/>
          <w:lang w:val="sr-Cyrl-RS"/>
        </w:rPr>
        <w:t xml:space="preserve">etotreksatom: </w:t>
      </w:r>
      <w:r>
        <w:rPr>
          <w:rFonts w:ascii="Microsoft Sans Serif" w:hAnsi="Microsoft Sans Serif" w:cs="Microsoft Sans Serif"/>
          <w:sz w:val="20"/>
          <w:szCs w:val="20"/>
          <w:lang w:val="hr-BA"/>
        </w:rPr>
        <w:t>s</w:t>
      </w:r>
      <w:r>
        <w:rPr>
          <w:rFonts w:ascii="Microsoft Sans Serif" w:hAnsi="Microsoft Sans Serif" w:cs="Microsoft Sans Serif"/>
          <w:sz w:val="20"/>
          <w:szCs w:val="20"/>
          <w:lang w:val="sr-Cyrl-RS"/>
        </w:rPr>
        <w:t>manjena elininacija metotreksata.</w:t>
      </w:r>
    </w:p>
    <w:p w14:paraId="1AC337C7">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iCs/>
          <w:sz w:val="20"/>
          <w:szCs w:val="20"/>
        </w:rPr>
        <w:t>Mifepristonom: NSAIL ne treba koristiti 8-12 dana nakon uzimanja mifepristona, jer NSAIL može da umanji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dejstvo mifepristona.</w:t>
      </w:r>
    </w:p>
    <w:p w14:paraId="4E3F8D6E">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iCs/>
          <w:sz w:val="20"/>
          <w:szCs w:val="20"/>
        </w:rPr>
        <w:t>Hinolonski</w:t>
      </w:r>
      <w:r>
        <w:rPr>
          <w:rFonts w:ascii="Microsoft Sans Serif" w:hAnsi="Microsoft Sans Serif" w:cs="Microsoft Sans Serif"/>
          <w:iCs/>
          <w:sz w:val="20"/>
          <w:szCs w:val="20"/>
          <w:lang w:val="sr-Cyrl-RS"/>
        </w:rPr>
        <w:t>m</w:t>
      </w:r>
      <w:r>
        <w:rPr>
          <w:rFonts w:ascii="Microsoft Sans Serif" w:hAnsi="Microsoft Sans Serif" w:cs="Microsoft Sans Serif"/>
          <w:iCs/>
          <w:sz w:val="20"/>
          <w:szCs w:val="20"/>
        </w:rPr>
        <w:t xml:space="preserve"> antibiotici</w:t>
      </w:r>
      <w:r>
        <w:rPr>
          <w:rFonts w:ascii="Microsoft Sans Serif" w:hAnsi="Microsoft Sans Serif" w:cs="Microsoft Sans Serif"/>
          <w:iCs/>
          <w:sz w:val="20"/>
          <w:szCs w:val="20"/>
          <w:lang w:val="sr-Cyrl-RS"/>
        </w:rPr>
        <w:t>ma</w:t>
      </w:r>
      <w:r>
        <w:rPr>
          <w:rFonts w:ascii="Microsoft Sans Serif" w:hAnsi="Microsoft Sans Serif" w:cs="Microsoft Sans Serif"/>
          <w:iCs/>
          <w:sz w:val="20"/>
          <w:szCs w:val="20"/>
        </w:rPr>
        <w:t>: podaci na životinjama navode da NSAIL mogu da povećaju rizik od konvulzija koji su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povezane sa primjenom hinolonskih antibiotika. Pacijenti koji uzimaju NSAIL i hinolone mogu imati povećan rizik 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 xml:space="preserve">nastanka konvulzija. </w:t>
      </w:r>
    </w:p>
    <w:p w14:paraId="7721A161">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iCs/>
          <w:sz w:val="20"/>
          <w:szCs w:val="20"/>
        </w:rPr>
        <w:t xml:space="preserve">Takrolimusom: mogući povećan rizik od nefrotoksičnosti kada se NSAIL </w:t>
      </w:r>
      <w:r>
        <w:rPr>
          <w:rFonts w:ascii="Microsoft Sans Serif" w:hAnsi="Microsoft Sans Serif" w:cs="Microsoft Sans Serif"/>
          <w:iCs/>
          <w:sz w:val="20"/>
          <w:szCs w:val="20"/>
          <w:lang w:val="sr-Cyrl-RS"/>
        </w:rPr>
        <w:t>prim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enjuju</w:t>
      </w:r>
      <w:r>
        <w:rPr>
          <w:rFonts w:ascii="Microsoft Sans Serif" w:hAnsi="Microsoft Sans Serif" w:cs="Microsoft Sans Serif"/>
          <w:iCs/>
          <w:sz w:val="20"/>
          <w:szCs w:val="20"/>
          <w:lang w:val="hr-BA"/>
        </w:rPr>
        <w:t xml:space="preserve"> istovremeno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 xml:space="preserve">sa takrolimusom. </w:t>
      </w:r>
    </w:p>
    <w:p w14:paraId="60390012">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iCs/>
          <w:sz w:val="20"/>
          <w:szCs w:val="20"/>
        </w:rPr>
        <w:t>Zidovudinom:</w:t>
      </w:r>
      <w:r>
        <w:rPr>
          <w:rFonts w:ascii="Microsoft Sans Serif" w:hAnsi="Microsoft Sans Serif" w:cs="Microsoft Sans Serif"/>
          <w:i/>
          <w:iCs/>
          <w:sz w:val="20"/>
          <w:szCs w:val="20"/>
        </w:rPr>
        <w:t xml:space="preserve"> </w:t>
      </w:r>
      <w:r>
        <w:rPr>
          <w:rFonts w:ascii="Microsoft Sans Serif" w:hAnsi="Microsoft Sans Serif" w:cs="Microsoft Sans Serif"/>
          <w:iCs/>
          <w:sz w:val="20"/>
          <w:szCs w:val="20"/>
        </w:rPr>
        <w:t>povećan rizik od hematološke toksičnosti kada se NSAIL daju istovremeno sa zidovudinom. Postoji dokaz 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povećan rizik od nastanka hemartroze i hematoma kod HIV (+) osoba sa hemofilijom koji primaju istovremenu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terapiju zidovudinom i ibuprofenom.</w:t>
      </w:r>
      <w:r>
        <w:rPr>
          <w:rFonts w:ascii="Microsoft Sans Serif" w:hAnsi="Microsoft Sans Serif" w:cs="Microsoft Sans Serif"/>
          <w:i/>
          <w:iCs/>
          <w:sz w:val="20"/>
          <w:szCs w:val="20"/>
        </w:rPr>
        <w:t xml:space="preserve"> </w:t>
      </w:r>
    </w:p>
    <w:p w14:paraId="05C499DE">
      <w:pPr>
        <w:rPr>
          <w:rFonts w:ascii="Microsoft Sans Serif" w:hAnsi="Microsoft Sans Serif" w:cs="Microsoft Sans Serif"/>
          <w:sz w:val="20"/>
          <w:szCs w:val="20"/>
        </w:rPr>
      </w:pPr>
    </w:p>
    <w:p w14:paraId="624F9FA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23ABD65B">
      <w:pPr>
        <w:autoSpaceDE w:val="0"/>
        <w:autoSpaceDN w:val="0"/>
        <w:adjustRightInd w:val="0"/>
        <w:rPr>
          <w:rFonts w:ascii="Microsoft Sans Serif" w:hAnsi="Microsoft Sans Serif" w:cs="Microsoft Sans Serif"/>
          <w:b/>
          <w:bCs/>
          <w:i/>
          <w:sz w:val="20"/>
          <w:szCs w:val="20"/>
          <w:lang w:val="sr-Cyrl-RS"/>
        </w:rPr>
      </w:pPr>
    </w:p>
    <w:p w14:paraId="124B25F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Trudnoća</w:t>
      </w:r>
    </w:p>
    <w:p w14:paraId="67FD5F4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Nema iskustva o primjeni ovog lijeka kod trudnica.</w:t>
      </w:r>
    </w:p>
    <w:p w14:paraId="7E3E31F6">
      <w:pPr>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Kongenitalne abnormalnosti su prijavlјene u vezi sa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enom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ekova iz grupe NSAIL kod lјudi; međutim, imaju nisku učestalost i izgleda da ne prate nikakav utvrđen obrazac. U pogledu poznatih uticaja NSAIL </w:t>
      </w:r>
      <w:r>
        <w:rPr>
          <w:rFonts w:ascii="Microsoft Sans Serif" w:hAnsi="Microsoft Sans Serif" w:cs="Microsoft Sans Serif"/>
          <w:bCs/>
          <w:sz w:val="20"/>
          <w:szCs w:val="20"/>
          <w:lang w:val="hr-BA"/>
        </w:rPr>
        <w:t>na</w:t>
      </w:r>
      <w:r>
        <w:rPr>
          <w:rFonts w:ascii="Microsoft Sans Serif" w:hAnsi="Microsoft Sans Serif" w:cs="Microsoft Sans Serif"/>
          <w:bCs/>
          <w:sz w:val="20"/>
          <w:szCs w:val="20"/>
          <w:lang w:val="sr-Cyrl-RS"/>
        </w:rPr>
        <w:t xml:space="preserve"> razvoju fetalnog kardiovaskularnog sistema (rizik od prevremenog zatvaranja </w:t>
      </w:r>
      <w:r>
        <w:rPr>
          <w:rFonts w:ascii="Microsoft Sans Serif" w:hAnsi="Microsoft Sans Serif" w:cs="Microsoft Sans Serif"/>
          <w:sz w:val="20"/>
          <w:szCs w:val="20"/>
        </w:rPr>
        <w:t>ductus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arteriosus</w:t>
      </w:r>
      <w:r>
        <w:rPr>
          <w:rFonts w:ascii="Microsoft Sans Serif" w:hAnsi="Microsoft Sans Serif" w:cs="Microsoft Sans Serif"/>
          <w:sz w:val="20"/>
          <w:szCs w:val="20"/>
          <w:lang w:val="sr-Cyrl-RS"/>
        </w:rPr>
        <w:t>-a</w:t>
      </w:r>
      <w:r>
        <w:rPr>
          <w:rFonts w:ascii="Microsoft Sans Serif" w:hAnsi="Microsoft Sans Serif" w:cs="Microsoft Sans Serif"/>
          <w:bCs/>
          <w:sz w:val="20"/>
          <w:szCs w:val="20"/>
          <w:lang w:val="sr-Cyrl-RS"/>
        </w:rPr>
        <w:t>), upotreba u posl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ednjem trimestru je kontraindikovana. Početak porođaja može biti odložen i trajanje produženo uz povećanu tendenciju krvarenja i kod majke i 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eteta (</w:t>
      </w:r>
      <w:r>
        <w:rPr>
          <w:rFonts w:ascii="Microsoft Sans Serif" w:hAnsi="Microsoft Sans Serif" w:cs="Microsoft Sans Serif"/>
          <w:bCs/>
          <w:sz w:val="20"/>
          <w:szCs w:val="20"/>
          <w:lang w:val="sr-Latn-RS"/>
        </w:rPr>
        <w:t>pogledati dio</w:t>
      </w:r>
      <w:r>
        <w:rPr>
          <w:rFonts w:ascii="Microsoft Sans Serif" w:hAnsi="Microsoft Sans Serif" w:cs="Microsoft Sans Serif"/>
          <w:bCs/>
          <w:sz w:val="20"/>
          <w:szCs w:val="20"/>
          <w:lang w:val="sr-Cyrl-RS"/>
        </w:rPr>
        <w:t xml:space="preserve"> 4.3). NSAIL se ne sm</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j</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koristiti tokom prva dva trimestra trudnoće ili tokom porođaja, osim ako potencijalna korist za pacijenta ne prevazilazi potencijalni rizik za fetus.</w:t>
      </w:r>
    </w:p>
    <w:p w14:paraId="330FA986">
      <w:pPr>
        <w:autoSpaceDE w:val="0"/>
        <w:autoSpaceDN w:val="0"/>
        <w:adjustRightInd w:val="0"/>
        <w:rPr>
          <w:rFonts w:ascii="Microsoft Sans Serif" w:hAnsi="Microsoft Sans Serif" w:cs="Microsoft Sans Serif"/>
          <w:bCs/>
          <w:sz w:val="20"/>
          <w:szCs w:val="20"/>
          <w:lang w:val="sr-Latn-RS"/>
        </w:rPr>
      </w:pPr>
    </w:p>
    <w:p w14:paraId="7AE73698">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Epidemiološke studije o neurorazvoju kod dece izložene paracetamolu in utero pokazuju neuvjerljive rezultate.</w:t>
      </w:r>
    </w:p>
    <w:p w14:paraId="132658E9">
      <w:pPr>
        <w:autoSpaceDE w:val="0"/>
        <w:autoSpaceDN w:val="0"/>
        <w:adjustRightInd w:val="0"/>
        <w:rPr>
          <w:rFonts w:ascii="Microsoft Sans Serif" w:hAnsi="Microsoft Sans Serif" w:cs="Microsoft Sans Serif"/>
          <w:bCs/>
          <w:i/>
          <w:sz w:val="20"/>
          <w:szCs w:val="20"/>
          <w:lang w:val="sr-Latn-RS"/>
        </w:rPr>
      </w:pPr>
    </w:p>
    <w:p w14:paraId="412DA781">
      <w:pPr>
        <w:autoSpaceDE w:val="0"/>
        <w:autoSpaceDN w:val="0"/>
        <w:adjustRightInd w:val="0"/>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Prema tome, ako je moguće, treba izb</w:t>
      </w:r>
      <w:r>
        <w:rPr>
          <w:rFonts w:ascii="Microsoft Sans Serif" w:hAnsi="Microsoft Sans Serif" w:cs="Microsoft Sans Serif"/>
          <w:bCs/>
          <w:i/>
          <w:sz w:val="20"/>
          <w:szCs w:val="20"/>
          <w:lang w:val="sr-Latn-RS"/>
        </w:rPr>
        <w:t>j</w:t>
      </w:r>
      <w:r>
        <w:rPr>
          <w:rFonts w:ascii="Microsoft Sans Serif" w:hAnsi="Microsoft Sans Serif" w:cs="Microsoft Sans Serif"/>
          <w:bCs/>
          <w:i/>
          <w:sz w:val="20"/>
          <w:szCs w:val="20"/>
          <w:lang w:val="sr-Cyrl-RS"/>
        </w:rPr>
        <w:t>egavati upotrebu ovog l</w:t>
      </w:r>
      <w:r>
        <w:rPr>
          <w:rFonts w:ascii="Microsoft Sans Serif" w:hAnsi="Microsoft Sans Serif" w:cs="Microsoft Sans Serif"/>
          <w:bCs/>
          <w:i/>
          <w:sz w:val="20"/>
          <w:szCs w:val="20"/>
          <w:lang w:val="sr-Latn-RS"/>
        </w:rPr>
        <w:t>ij</w:t>
      </w:r>
      <w:r>
        <w:rPr>
          <w:rFonts w:ascii="Microsoft Sans Serif" w:hAnsi="Microsoft Sans Serif" w:cs="Microsoft Sans Serif"/>
          <w:bCs/>
          <w:i/>
          <w:sz w:val="20"/>
          <w:szCs w:val="20"/>
          <w:lang w:val="sr-Cyrl-RS"/>
        </w:rPr>
        <w:t>eka u prvih šest m</w:t>
      </w:r>
      <w:r>
        <w:rPr>
          <w:rFonts w:ascii="Microsoft Sans Serif" w:hAnsi="Microsoft Sans Serif" w:cs="Microsoft Sans Serif"/>
          <w:bCs/>
          <w:i/>
          <w:sz w:val="20"/>
          <w:szCs w:val="20"/>
          <w:lang w:val="sr-Latn-RS"/>
        </w:rPr>
        <w:t>j</w:t>
      </w:r>
      <w:r>
        <w:rPr>
          <w:rFonts w:ascii="Microsoft Sans Serif" w:hAnsi="Microsoft Sans Serif" w:cs="Microsoft Sans Serif"/>
          <w:bCs/>
          <w:i/>
          <w:sz w:val="20"/>
          <w:szCs w:val="20"/>
          <w:lang w:val="sr-Cyrl-RS"/>
        </w:rPr>
        <w:t>eseci trudnoće, a njegova upotreba je kontraindikovana u posl</w:t>
      </w:r>
      <w:r>
        <w:rPr>
          <w:rFonts w:ascii="Microsoft Sans Serif" w:hAnsi="Microsoft Sans Serif" w:cs="Microsoft Sans Serif"/>
          <w:bCs/>
          <w:i/>
          <w:sz w:val="20"/>
          <w:szCs w:val="20"/>
          <w:lang w:val="sr-Latn-RS"/>
        </w:rPr>
        <w:t>j</w:t>
      </w:r>
      <w:r>
        <w:rPr>
          <w:rFonts w:ascii="Microsoft Sans Serif" w:hAnsi="Microsoft Sans Serif" w:cs="Microsoft Sans Serif"/>
          <w:bCs/>
          <w:i/>
          <w:sz w:val="20"/>
          <w:szCs w:val="20"/>
          <w:lang w:val="sr-Cyrl-RS"/>
        </w:rPr>
        <w:t>ednja tri m</w:t>
      </w:r>
      <w:r>
        <w:rPr>
          <w:rFonts w:ascii="Microsoft Sans Serif" w:hAnsi="Microsoft Sans Serif" w:cs="Microsoft Sans Serif"/>
          <w:bCs/>
          <w:i/>
          <w:sz w:val="20"/>
          <w:szCs w:val="20"/>
          <w:lang w:val="sr-Latn-RS"/>
        </w:rPr>
        <w:t>j</w:t>
      </w:r>
      <w:r>
        <w:rPr>
          <w:rFonts w:ascii="Microsoft Sans Serif" w:hAnsi="Microsoft Sans Serif" w:cs="Microsoft Sans Serif"/>
          <w:bCs/>
          <w:i/>
          <w:sz w:val="20"/>
          <w:szCs w:val="20"/>
          <w:lang w:val="sr-Cyrl-RS"/>
        </w:rPr>
        <w:t>eseca trudnoće (</w:t>
      </w:r>
      <w:r>
        <w:rPr>
          <w:rFonts w:ascii="Microsoft Sans Serif" w:hAnsi="Microsoft Sans Serif" w:cs="Microsoft Sans Serif"/>
          <w:bCs/>
          <w:i/>
          <w:sz w:val="20"/>
          <w:szCs w:val="20"/>
          <w:lang w:val="sr-Latn-RS"/>
        </w:rPr>
        <w:t>pogledati dio</w:t>
      </w:r>
      <w:r>
        <w:rPr>
          <w:rFonts w:ascii="Microsoft Sans Serif" w:hAnsi="Microsoft Sans Serif" w:cs="Microsoft Sans Serif"/>
          <w:bCs/>
          <w:i/>
          <w:sz w:val="20"/>
          <w:szCs w:val="20"/>
          <w:lang w:val="sr-Cyrl-RS"/>
        </w:rPr>
        <w:t xml:space="preserve"> 4.3).</w:t>
      </w:r>
    </w:p>
    <w:p w14:paraId="0F7FD6EF">
      <w:pPr>
        <w:rPr>
          <w:rFonts w:ascii="Microsoft Sans Serif" w:hAnsi="Microsoft Sans Serif" w:cs="Microsoft Sans Serif"/>
          <w:sz w:val="20"/>
          <w:szCs w:val="20"/>
          <w:lang w:val="sr-Latn-RS"/>
        </w:rPr>
      </w:pPr>
    </w:p>
    <w:p w14:paraId="366544D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Dojenje</w:t>
      </w:r>
    </w:p>
    <w:p w14:paraId="660F113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Ibuprofen i njegovi metaboliti mogu u veoma malim količinama (0,0008% od doze majke) proći u majčino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mlijeko. Nema štetnih efekata na odojče.</w:t>
      </w:r>
    </w:p>
    <w:p w14:paraId="6B15849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Paracetamol se izlučuje u majčino mlijeko, ali ne u klinički značajnoj količini. Prema dostupnim objavl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podacima vezanim za paracetamol, dojenje nije kontraindikovano.</w:t>
      </w:r>
    </w:p>
    <w:p w14:paraId="338D5600">
      <w:pPr>
        <w:rPr>
          <w:rFonts w:ascii="Microsoft Sans Serif" w:hAnsi="Microsoft Sans Serif" w:cs="Microsoft Sans Serif"/>
          <w:i/>
          <w:sz w:val="20"/>
          <w:szCs w:val="20"/>
          <w:lang w:val="sr-Latn-RS"/>
        </w:rPr>
      </w:pPr>
    </w:p>
    <w:p w14:paraId="50290542">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Zbog toga nije neophodno prekidati dojenje za kratkotrajno liječenje preporučenom dozom ovog lijeka.</w:t>
      </w:r>
    </w:p>
    <w:p w14:paraId="50BB84D9">
      <w:pPr>
        <w:rPr>
          <w:rFonts w:ascii="Microsoft Sans Serif" w:hAnsi="Microsoft Sans Serif" w:cs="Microsoft Sans Serif"/>
          <w:i/>
          <w:color w:val="FF0000"/>
          <w:sz w:val="20"/>
          <w:szCs w:val="20"/>
          <w:lang w:val="sr-Latn-RS"/>
        </w:rPr>
      </w:pPr>
    </w:p>
    <w:p w14:paraId="44E46ACC">
      <w:pPr>
        <w:autoSpaceDE w:val="0"/>
        <w:autoSpaceDN w:val="0"/>
        <w:adjustRightInd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Fertilitet:</w:t>
      </w:r>
    </w:p>
    <w:p w14:paraId="09E1F88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r>
        <w:rPr>
          <w:rFonts w:ascii="Microsoft Sans Serif" w:hAnsi="Microsoft Sans Serif" w:cs="Microsoft Sans Serif"/>
          <w:bCs/>
          <w:sz w:val="20"/>
          <w:szCs w:val="20"/>
          <w:lang w:val="sr-Latn-RS"/>
        </w:rPr>
        <w:t xml:space="preserve"> koji se odnose na plodnost žena.</w:t>
      </w:r>
    </w:p>
    <w:p w14:paraId="3D07A2B7">
      <w:pPr>
        <w:rPr>
          <w:rFonts w:ascii="Microsoft Sans Serif" w:hAnsi="Microsoft Sans Serif" w:cs="Microsoft Sans Serif"/>
          <w:sz w:val="20"/>
          <w:szCs w:val="20"/>
          <w:lang w:val="sr-Latn-RS"/>
        </w:rPr>
      </w:pPr>
    </w:p>
    <w:p w14:paraId="68FA1A4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RS"/>
        </w:rPr>
        <w:t xml:space="preserve">4.7. </w:t>
      </w:r>
      <w:r>
        <w:rPr>
          <w:rFonts w:ascii="Microsoft Sans Serif" w:hAnsi="Microsoft Sans Serif" w:cs="Microsoft Sans Serif"/>
          <w:b/>
          <w:bCs/>
          <w:sz w:val="20"/>
          <w:szCs w:val="20"/>
          <w:lang w:val="sr-Latn-CS"/>
        </w:rPr>
        <w:t>Uticaj lijeka na sposobnost upravlјanja vozilima i rada na mašinama</w:t>
      </w:r>
    </w:p>
    <w:p w14:paraId="5DCDE5EF">
      <w:pPr>
        <w:rPr>
          <w:rFonts w:ascii="Microsoft Sans Serif" w:hAnsi="Microsoft Sans Serif" w:cs="Microsoft Sans Serif"/>
          <w:b/>
          <w:bCs/>
          <w:sz w:val="20"/>
          <w:szCs w:val="20"/>
          <w:lang w:val="sr-Latn-RS"/>
        </w:rPr>
      </w:pPr>
    </w:p>
    <w:p w14:paraId="3EFAF61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djelovanja kao što su vrtoglavica, pospanost, zamor i poremećaji vida su mogući nakon 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lijekova iz grupe NSAIL. Pacijenti kod kojih se jave ova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djelovanja ne treba da upravl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aju vozilom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da rukuju mašinama.</w:t>
      </w:r>
    </w:p>
    <w:p w14:paraId="3CC08CC7">
      <w:pPr>
        <w:rPr>
          <w:rFonts w:ascii="Microsoft Sans Serif" w:hAnsi="Microsoft Sans Serif" w:cs="Microsoft Sans Serif"/>
          <w:color w:val="FF0000"/>
          <w:sz w:val="20"/>
          <w:szCs w:val="20"/>
          <w:lang w:val="sr-Latn-RS"/>
        </w:rPr>
      </w:pPr>
    </w:p>
    <w:p w14:paraId="41E58AC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4.8. Nežel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r-Latn-RS"/>
        </w:rPr>
        <w:t>ena djelovanja</w:t>
      </w:r>
    </w:p>
    <w:p w14:paraId="1E08ED80">
      <w:pPr>
        <w:rPr>
          <w:rFonts w:ascii="Microsoft Sans Serif" w:hAnsi="Microsoft Sans Serif" w:cs="Microsoft Sans Serif"/>
          <w:sz w:val="20"/>
          <w:szCs w:val="20"/>
          <w:u w:val="single"/>
          <w:lang w:val="mk-MK"/>
        </w:rPr>
      </w:pPr>
    </w:p>
    <w:p w14:paraId="578C03BE">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Klinička ispitivanja fiksne kombinacije ibuprofen/paracetamol nisu ukazala na druga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djelovanja osim onih koja su utvrđena za ibuprofen i paracetamol kada se primjenjuju pojedinačno.</w:t>
      </w:r>
    </w:p>
    <w:p w14:paraId="31786B5D">
      <w:pPr>
        <w:rPr>
          <w:rFonts w:ascii="Microsoft Sans Serif" w:hAnsi="Microsoft Sans Serif" w:cs="Microsoft Sans Serif"/>
          <w:sz w:val="20"/>
          <w:szCs w:val="20"/>
          <w:lang w:val="sr-Latn-RS"/>
        </w:rPr>
      </w:pPr>
    </w:p>
    <w:p w14:paraId="73BB925E">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tabeli u nastavku teksta su navedena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djelovanja na osnovu podataka o farmakovigilanci, koja su se javl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ala kod pacijenata koji su uzimali samo ibuprofen ili samo paracetamol zasebno, kratkoročno ili dugoročno.</w:t>
      </w:r>
    </w:p>
    <w:p w14:paraId="7DEB1A3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Učestalost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 xml:space="preserve">enih dejstava je definisana na sljedeći način: veoma česta (≥1/10), česta (≥1/100 do &lt;1/10), povremena (≥1/1000 do &lt;1/100), rijetka (≥1/10000 do &lt;1/1000), veoma rijetka (&lt;1/10000) i nepoznata učestalost (ne može se procjeniti na osnovu raspoloživih podataka). </w:t>
      </w:r>
    </w:p>
    <w:p w14:paraId="3F59390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svakoj grupi prema učestalosti,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djelovanja su navedena prema opadajućem stepenu težine.</w:t>
      </w:r>
    </w:p>
    <w:p w14:paraId="5CEE5A73">
      <w:pPr>
        <w:rPr>
          <w:rFonts w:ascii="Microsoft Sans Serif" w:hAnsi="Microsoft Sans Serif" w:cs="Microsoft Sans Serif"/>
          <w:color w:val="FF0000"/>
          <w:sz w:val="20"/>
          <w:szCs w:val="20"/>
          <w:lang w:val="sr-Latn-R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2339"/>
        <w:gridCol w:w="4424"/>
      </w:tblGrid>
      <w:tr w14:paraId="459D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808" w:type="dxa"/>
            <w:shd w:val="clear" w:color="auto" w:fill="auto"/>
          </w:tcPr>
          <w:p w14:paraId="3F10C67E">
            <w:pPr>
              <w:autoSpaceDE w:val="0"/>
              <w:autoSpaceDN w:val="0"/>
              <w:adjustRightInd w:val="0"/>
              <w:jc w:val="left"/>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krvi i limfnog sistema</w:t>
            </w:r>
          </w:p>
          <w:p w14:paraId="019BAC04">
            <w:pPr>
              <w:rPr>
                <w:rFonts w:ascii="Microsoft Sans Serif" w:hAnsi="Microsoft Sans Serif" w:cs="Microsoft Sans Serif"/>
                <w:sz w:val="20"/>
                <w:szCs w:val="20"/>
              </w:rPr>
            </w:pPr>
          </w:p>
        </w:tc>
        <w:tc>
          <w:tcPr>
            <w:tcW w:w="2339" w:type="dxa"/>
            <w:shd w:val="clear" w:color="auto" w:fill="auto"/>
          </w:tcPr>
          <w:p w14:paraId="4C22B99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p w14:paraId="6B35DEA5">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tc>
        <w:tc>
          <w:tcPr>
            <w:tcW w:w="4424" w:type="dxa"/>
            <w:shd w:val="clear" w:color="auto" w:fill="auto"/>
          </w:tcPr>
          <w:p w14:paraId="0CAB459F">
            <w:pPr>
              <w:autoSpaceDE w:val="0"/>
              <w:autoSpaceDN w:val="0"/>
              <w:adjustRightInd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Poremećaji hematopoeze (agranulocitoza, </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anemija, aplastična anemija, hemolitička anemija, leukopenija, neutropenija, pancitopenija i trombocitopenija).</w:t>
            </w:r>
          </w:p>
          <w:p w14:paraId="219AAAF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Prvi znaci su: </w:t>
            </w:r>
            <w:r>
              <w:rPr>
                <w:rFonts w:ascii="Microsoft Sans Serif" w:hAnsi="Microsoft Sans Serif" w:cs="Microsoft Sans Serif"/>
                <w:sz w:val="20"/>
                <w:szCs w:val="20"/>
                <w:lang w:val="hr-BA"/>
              </w:rPr>
              <w:t>povišena tjelesna temperatura</w:t>
            </w:r>
            <w:r>
              <w:rPr>
                <w:rFonts w:ascii="Microsoft Sans Serif" w:hAnsi="Microsoft Sans Serif" w:cs="Microsoft Sans Serif"/>
                <w:sz w:val="20"/>
                <w:szCs w:val="20"/>
                <w:lang w:val="sr-Cyrl-RS"/>
              </w:rPr>
              <w:t>, bol u grlu, površinski ulceri usta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simptomi slični gripu, teška iscrplјenost, neobjašnjivo</w:t>
            </w:r>
            <w:r>
              <w:rPr>
                <w:rFonts w:ascii="Microsoft Sans Serif" w:hAnsi="Microsoft Sans Serif" w:cs="Microsoft Sans Serif"/>
                <w:sz w:val="20"/>
                <w:szCs w:val="20"/>
                <w:lang w:val="sr-Latn-RS"/>
              </w:rPr>
              <w:t xml:space="preserve"> </w:t>
            </w:r>
            <w:r>
              <w:rPr>
                <w:rFonts w:ascii="Microsoft Sans Serif" w:hAnsi="Microsoft Sans Serif" w:eastAsia="Arial" w:cs="Microsoft Sans Serif"/>
                <w:sz w:val="20"/>
                <w:szCs w:val="20"/>
              </w:rPr>
              <w:t>krvarenje</w:t>
            </w:r>
            <w:r>
              <w:rPr>
                <w:rFonts w:ascii="Microsoft Sans Serif" w:hAnsi="Microsoft Sans Serif" w:eastAsia="Arial" w:cs="Microsoft Sans Serif"/>
                <w:sz w:val="20"/>
                <w:szCs w:val="20"/>
                <w:lang w:val="sr-Cyrl-RS"/>
              </w:rPr>
              <w:t xml:space="preserve"> i pojava modric</w:t>
            </w:r>
            <w:r>
              <w:rPr>
                <w:rFonts w:ascii="Microsoft Sans Serif" w:hAnsi="Microsoft Sans Serif" w:eastAsia="Arial" w:cs="Microsoft Sans Serif"/>
                <w:sz w:val="20"/>
                <w:szCs w:val="20"/>
                <w:lang w:val="sr-Latn-RS"/>
              </w:rPr>
              <w:t>a</w:t>
            </w:r>
            <w:r>
              <w:rPr>
                <w:rFonts w:ascii="Microsoft Sans Serif" w:hAnsi="Microsoft Sans Serif" w:eastAsia="Arial" w:cs="Microsoft Sans Serif"/>
                <w:sz w:val="20"/>
                <w:szCs w:val="20"/>
                <w:lang w:val="sr-Cyrl-RS"/>
              </w:rPr>
              <w:t xml:space="preserve">, krvarenje </w:t>
            </w:r>
            <w:r>
              <w:rPr>
                <w:rFonts w:ascii="Microsoft Sans Serif" w:hAnsi="Microsoft Sans Serif" w:eastAsia="Arial" w:cs="Microsoft Sans Serif"/>
                <w:sz w:val="20"/>
                <w:szCs w:val="20"/>
              </w:rPr>
              <w:t>iz</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nosa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nepoznate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etiologije</w:t>
            </w:r>
            <w:r>
              <w:rPr>
                <w:rFonts w:ascii="Microsoft Sans Serif" w:hAnsi="Microsoft Sans Serif" w:eastAsia="Arial" w:cs="Microsoft Sans Serif"/>
                <w:sz w:val="20"/>
                <w:szCs w:val="20"/>
                <w:lang w:val="sr-Cyrl-RS"/>
              </w:rPr>
              <w:t xml:space="preserve">. </w:t>
            </w:r>
          </w:p>
        </w:tc>
      </w:tr>
      <w:tr w14:paraId="3309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51E1866F">
            <w:pPr>
              <w:rPr>
                <w:rFonts w:ascii="Microsoft Sans Serif" w:hAnsi="Microsoft Sans Serif" w:cs="Microsoft Sans Serif"/>
                <w:sz w:val="20"/>
                <w:szCs w:val="20"/>
              </w:rPr>
            </w:pPr>
            <w:r>
              <w:rPr>
                <w:rFonts w:ascii="Microsoft Sans Serif" w:hAnsi="Microsoft Sans Serif" w:cs="Microsoft Sans Serif"/>
                <w:b/>
                <w:sz w:val="20"/>
                <w:szCs w:val="20"/>
                <w:lang w:val="sr-Cyrl-RS"/>
              </w:rPr>
              <w:t>Poremećaji imunog sistema</w:t>
            </w:r>
          </w:p>
        </w:tc>
        <w:tc>
          <w:tcPr>
            <w:tcW w:w="2339" w:type="dxa"/>
            <w:shd w:val="clear" w:color="auto" w:fill="auto"/>
          </w:tcPr>
          <w:p w14:paraId="19FD75C0">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2B9B0817">
            <w:pPr>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Reakcije preosjetlјivosti </w:t>
            </w:r>
            <w:r>
              <w:rPr>
                <w:rFonts w:ascii="Microsoft Sans Serif" w:hAnsi="Microsoft Sans Serif" w:cs="Microsoft Sans Serif"/>
                <w:sz w:val="20"/>
                <w:szCs w:val="20"/>
                <w:lang w:val="sr-Cyrl-RS"/>
              </w:rPr>
              <w:t>kao što su nespecifične reakcije 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etlјivosti i anafilaktičke reakcije.</w:t>
            </w:r>
          </w:p>
          <w:p w14:paraId="75921CD0">
            <w:pPr>
              <w:rPr>
                <w:rFonts w:ascii="Microsoft Sans Serif" w:hAnsi="Microsoft Sans Serif" w:cs="Microsoft Sans Serif"/>
                <w:sz w:val="20"/>
                <w:szCs w:val="20"/>
                <w:lang w:val="sr-Cyrl-RS"/>
              </w:rPr>
            </w:pP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preosjetl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ivosti</w:t>
            </w:r>
            <w:r>
              <w:rPr>
                <w:rFonts w:ascii="Microsoft Sans Serif" w:hAnsi="Microsoft Sans Serif" w:cs="Microsoft Sans Serif"/>
                <w:sz w:val="20"/>
                <w:szCs w:val="20"/>
                <w:lang w:val="sr-Cyrl-RS"/>
              </w:rPr>
              <w:t xml:space="preserve">. </w:t>
            </w:r>
          </w:p>
          <w:p w14:paraId="1BA56466">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larinksa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nedostatak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vazduha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tahikardija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hipotenzija</w:t>
            </w:r>
            <w:r>
              <w:rPr>
                <w:rFonts w:ascii="Microsoft Sans Serif" w:hAnsi="Microsoft Sans Serif" w:cs="Microsoft Sans Serif"/>
                <w:sz w:val="20"/>
                <w:szCs w:val="20"/>
                <w:lang w:val="sr-Cyrl-RS"/>
              </w:rPr>
              <w:t>, (</w:t>
            </w:r>
            <w:r>
              <w:rPr>
                <w:rFonts w:ascii="Microsoft Sans Serif" w:hAnsi="Microsoft Sans Serif" w:cs="Microsoft Sans Serif"/>
                <w:sz w:val="20"/>
                <w:szCs w:val="20"/>
              </w:rPr>
              <w:t>anafilakti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angioedem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vaskularni ili životno ugrožavajući š</w:t>
            </w:r>
            <w:r>
              <w:rPr>
                <w:rFonts w:ascii="Microsoft Sans Serif" w:hAnsi="Microsoft Sans Serif" w:cs="Microsoft Sans Serif"/>
                <w:sz w:val="20"/>
                <w:szCs w:val="20"/>
              </w:rPr>
              <w:t>ok</w:t>
            </w:r>
            <w:r>
              <w:rPr>
                <w:rFonts w:ascii="Microsoft Sans Serif" w:hAnsi="Microsoft Sans Serif" w:cs="Microsoft Sans Serif"/>
                <w:sz w:val="20"/>
                <w:szCs w:val="20"/>
                <w:lang w:val="sr-Cyrl-RS"/>
              </w:rPr>
              <w:t>).</w:t>
            </w:r>
          </w:p>
        </w:tc>
      </w:tr>
      <w:tr w14:paraId="2CCC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07776DAE">
            <w:pPr>
              <w:rPr>
                <w:rFonts w:ascii="Microsoft Sans Serif" w:hAnsi="Microsoft Sans Serif" w:cs="Microsoft Sans Serif"/>
                <w:b/>
                <w:sz w:val="20"/>
                <w:szCs w:val="20"/>
              </w:rPr>
            </w:pPr>
            <w:r>
              <w:rPr>
                <w:rFonts w:ascii="Microsoft Sans Serif" w:hAnsi="Microsoft Sans Serif" w:cs="Microsoft Sans Serif"/>
                <w:b/>
                <w:sz w:val="20"/>
                <w:szCs w:val="20"/>
              </w:rPr>
              <w:t>Psihijatrijski poremećaji</w:t>
            </w:r>
          </w:p>
        </w:tc>
        <w:tc>
          <w:tcPr>
            <w:tcW w:w="2339" w:type="dxa"/>
            <w:shd w:val="clear" w:color="auto" w:fill="auto"/>
          </w:tcPr>
          <w:p w14:paraId="12ACBDE5">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07FDC071">
            <w:pPr>
              <w:rPr>
                <w:rFonts w:ascii="Microsoft Sans Serif" w:hAnsi="Microsoft Sans Serif" w:cs="Microsoft Sans Serif"/>
                <w:sz w:val="20"/>
                <w:szCs w:val="20"/>
              </w:rPr>
            </w:pPr>
            <w:r>
              <w:rPr>
                <w:rFonts w:ascii="Microsoft Sans Serif" w:hAnsi="Microsoft Sans Serif" w:eastAsia="Arial" w:cs="Microsoft Sans Serif"/>
                <w:sz w:val="20"/>
                <w:szCs w:val="20"/>
                <w:lang w:val="sr-Cyrl-RS"/>
              </w:rPr>
              <w:t>Konfuzija, depresija i halucinacije.</w:t>
            </w:r>
          </w:p>
        </w:tc>
      </w:tr>
      <w:tr w14:paraId="7754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shd w:val="clear" w:color="auto" w:fill="auto"/>
          </w:tcPr>
          <w:p w14:paraId="36B4C4BF">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nervnog sistema</w:t>
            </w:r>
          </w:p>
          <w:p w14:paraId="4FECB2BB">
            <w:pPr>
              <w:rPr>
                <w:rFonts w:ascii="Microsoft Sans Serif" w:hAnsi="Microsoft Sans Serif" w:cs="Microsoft Sans Serif"/>
                <w:b/>
                <w:sz w:val="20"/>
                <w:szCs w:val="20"/>
                <w:lang w:val="sr-Cyrl-RS"/>
              </w:rPr>
            </w:pPr>
          </w:p>
        </w:tc>
        <w:tc>
          <w:tcPr>
            <w:tcW w:w="2339" w:type="dxa"/>
            <w:shd w:val="clear" w:color="auto" w:fill="auto"/>
          </w:tcPr>
          <w:p w14:paraId="5C0B3850">
            <w:pPr>
              <w:rPr>
                <w:rFonts w:ascii="Microsoft Sans Serif" w:hAnsi="Microsoft Sans Serif" w:cs="Microsoft Sans Serif"/>
                <w:sz w:val="20"/>
                <w:szCs w:val="20"/>
              </w:rPr>
            </w:pPr>
            <w:r>
              <w:rPr>
                <w:rFonts w:ascii="Microsoft Sans Serif" w:hAnsi="Microsoft Sans Serif" w:cs="Microsoft Sans Serif"/>
                <w:sz w:val="20"/>
                <w:szCs w:val="20"/>
              </w:rPr>
              <w:t>Povremeno</w:t>
            </w:r>
          </w:p>
        </w:tc>
        <w:tc>
          <w:tcPr>
            <w:tcW w:w="4424" w:type="dxa"/>
            <w:shd w:val="clear" w:color="auto" w:fill="auto"/>
          </w:tcPr>
          <w:p w14:paraId="357C299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 i vrtoglavica.</w:t>
            </w:r>
          </w:p>
        </w:tc>
      </w:tr>
      <w:tr w14:paraId="0F32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808" w:type="dxa"/>
            <w:vMerge w:val="continue"/>
            <w:shd w:val="clear" w:color="auto" w:fill="auto"/>
          </w:tcPr>
          <w:p w14:paraId="6EC78D01">
            <w:pPr>
              <w:rPr>
                <w:rFonts w:ascii="Microsoft Sans Serif" w:hAnsi="Microsoft Sans Serif" w:cs="Microsoft Sans Serif"/>
                <w:sz w:val="20"/>
                <w:szCs w:val="20"/>
                <w:u w:val="single"/>
              </w:rPr>
            </w:pPr>
          </w:p>
        </w:tc>
        <w:tc>
          <w:tcPr>
            <w:tcW w:w="2339" w:type="dxa"/>
            <w:shd w:val="clear" w:color="auto" w:fill="auto"/>
          </w:tcPr>
          <w:p w14:paraId="635F8EE7">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63FA2A3A">
            <w:pPr>
              <w:rPr>
                <w:rFonts w:ascii="Microsoft Sans Serif" w:hAnsi="Microsoft Sans Serif" w:cs="Microsoft Sans Serif"/>
                <w:sz w:val="20"/>
                <w:szCs w:val="20"/>
                <w:lang w:val="sr-Cyrl-RS"/>
              </w:rPr>
            </w:pPr>
            <w:r>
              <w:rPr>
                <w:rFonts w:ascii="Microsoft Sans Serif" w:hAnsi="Microsoft Sans Serif" w:cs="Microsoft Sans Serif"/>
                <w:sz w:val="20"/>
                <w:szCs w:val="20"/>
              </w:rPr>
              <w:t>Parestezija, optički neuritis i somnolencija.</w:t>
            </w:r>
            <w:r>
              <w:rPr>
                <w:rFonts w:ascii="Microsoft Sans Serif" w:hAnsi="Microsoft Sans Serif" w:cs="Microsoft Sans Serif"/>
                <w:sz w:val="20"/>
                <w:szCs w:val="20"/>
                <w:lang w:val="sr-Cyrl-RS"/>
              </w:rPr>
              <w:t xml:space="preserve"> Prijavlјeni su izolovani slučajevi aseptičnog meningitisa kod pacijenata koji imaju autoimune poremećaje (kao što s</w:t>
            </w:r>
            <w:r>
              <w:rPr>
                <w:rFonts w:ascii="Microsoft Sans Serif" w:hAnsi="Microsoft Sans Serif" w:cs="Microsoft Sans Serif"/>
                <w:sz w:val="20"/>
                <w:szCs w:val="20"/>
                <w:lang w:val="hr-BA"/>
              </w:rPr>
              <w:t>u</w:t>
            </w:r>
            <w:r>
              <w:rPr>
                <w:rFonts w:ascii="Microsoft Sans Serif" w:hAnsi="Microsoft Sans Serif" w:cs="Microsoft Sans Serif"/>
                <w:sz w:val="20"/>
                <w:szCs w:val="20"/>
                <w:lang w:val="sr-Cyrl-RS"/>
              </w:rPr>
              <w:t xml:space="preserve"> sistemski lupus eritematosus i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ešovita bolest vezivnog tkiva) tokom terapije ibuprofenom, praćeni simptomima kao što su </w:t>
            </w:r>
            <w:r>
              <w:rPr>
                <w:rFonts w:ascii="Microsoft Sans Serif" w:hAnsi="Microsoft Sans Serif" w:cs="Microsoft Sans Serif"/>
                <w:sz w:val="20"/>
                <w:szCs w:val="20"/>
              </w:rPr>
              <w:t xml:space="preserve">ukočenost vrata, glavobolјa, mučnina, povraćanje, povišena tjelesna temperatura </w:t>
            </w:r>
            <w:r>
              <w:rPr>
                <w:rFonts w:ascii="Microsoft Sans Serif" w:hAnsi="Microsoft Sans Serif" w:cs="Microsoft Sans Serif"/>
                <w:sz w:val="20"/>
                <w:szCs w:val="20"/>
                <w:lang w:val="sr-Cyrl-RS"/>
              </w:rPr>
              <w:t>ili dezorijentacija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tc>
      </w:tr>
      <w:tr w14:paraId="0440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78FC1D70">
            <w:pPr>
              <w:rPr>
                <w:rFonts w:ascii="Microsoft Sans Serif" w:hAnsi="Microsoft Sans Serif" w:cs="Microsoft Sans Serif"/>
                <w:b/>
                <w:sz w:val="20"/>
                <w:szCs w:val="20"/>
                <w:lang w:val="sr-Cyrl-RS"/>
              </w:rPr>
            </w:pPr>
            <w:r>
              <w:rPr>
                <w:rFonts w:ascii="Microsoft Sans Serif" w:hAnsi="Microsoft Sans Serif" w:eastAsia="Arial" w:cs="Microsoft Sans Serif"/>
                <w:b/>
                <w:sz w:val="20"/>
                <w:szCs w:val="20"/>
                <w:lang w:val="sr-Cyrl-RS"/>
              </w:rPr>
              <w:t>Poremećaji oka</w:t>
            </w:r>
          </w:p>
        </w:tc>
        <w:tc>
          <w:tcPr>
            <w:tcW w:w="2339" w:type="dxa"/>
            <w:shd w:val="clear" w:color="auto" w:fill="auto"/>
          </w:tcPr>
          <w:p w14:paraId="219C7A21">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0B061AD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vida.</w:t>
            </w:r>
          </w:p>
        </w:tc>
      </w:tr>
      <w:tr w14:paraId="4832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5668E8A1">
            <w:pPr>
              <w:rPr>
                <w:rFonts w:ascii="Microsoft Sans Serif" w:hAnsi="Microsoft Sans Serif" w:cs="Microsoft Sans Serif"/>
                <w:b/>
                <w:sz w:val="20"/>
                <w:szCs w:val="20"/>
              </w:rPr>
            </w:pPr>
            <w:r>
              <w:rPr>
                <w:rFonts w:ascii="Microsoft Sans Serif" w:hAnsi="Microsoft Sans Serif" w:eastAsia="Arial" w:cs="Microsoft Sans Serif"/>
                <w:b/>
                <w:sz w:val="20"/>
                <w:szCs w:val="20"/>
                <w:lang w:val="sr-Cyrl-RS"/>
              </w:rPr>
              <w:t>Poremećaji uha i labirinta</w:t>
            </w:r>
          </w:p>
        </w:tc>
        <w:tc>
          <w:tcPr>
            <w:tcW w:w="2339" w:type="dxa"/>
            <w:shd w:val="clear" w:color="auto" w:fill="auto"/>
          </w:tcPr>
          <w:p w14:paraId="5A0ACE03">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6B8E2BC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Tinitus i vertigo.</w:t>
            </w:r>
          </w:p>
        </w:tc>
      </w:tr>
      <w:tr w14:paraId="1C20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324F4396">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Vaskularni poremećaji</w:t>
            </w:r>
          </w:p>
        </w:tc>
        <w:tc>
          <w:tcPr>
            <w:tcW w:w="2339" w:type="dxa"/>
            <w:shd w:val="clear" w:color="auto" w:fill="auto"/>
          </w:tcPr>
          <w:p w14:paraId="34C3C874">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0CC76B70">
            <w:pPr>
              <w:jc w:val="left"/>
              <w:rPr>
                <w:rFonts w:ascii="Microsoft Sans Serif" w:hAnsi="Microsoft Sans Serif" w:cs="Microsoft Sans Serif"/>
                <w:sz w:val="20"/>
                <w:szCs w:val="20"/>
              </w:rPr>
            </w:pPr>
            <w:r>
              <w:rPr>
                <w:rFonts w:ascii="Microsoft Sans Serif" w:hAnsi="Microsoft Sans Serif" w:cs="Microsoft Sans Serif"/>
                <w:sz w:val="20"/>
                <w:szCs w:val="20"/>
              </w:rPr>
              <w:t>Nakon primjene NSAIL-a zabilježena je pojava edema, visokog krvnog pritiska i srčane insuficijencije.</w:t>
            </w:r>
          </w:p>
          <w:p w14:paraId="1E78D216">
            <w:pPr>
              <w:rPr>
                <w:rFonts w:ascii="Microsoft Sans Serif" w:hAnsi="Microsoft Sans Serif" w:cs="Microsoft Sans Serif"/>
                <w:sz w:val="20"/>
                <w:szCs w:val="20"/>
                <w:u w:val="single"/>
              </w:rPr>
            </w:pPr>
            <w:r>
              <w:rPr>
                <w:rFonts w:ascii="Microsoft Sans Serif" w:hAnsi="Microsoft Sans Serif" w:cs="Microsoft Sans Serif"/>
                <w:sz w:val="20"/>
                <w:szCs w:val="20"/>
              </w:rPr>
              <w:t>Klinička ispitivanja pokazuju da upotreba ibuprofena, posebno u visokim dozama (2.400 mg/dan), može biti povezana sa niskim povećanim rizikom od arterijskih tromboembolijskih događaja (npr. infarkt miokarda ili moždani udar) (pogledati dio 4.4)</w:t>
            </w:r>
          </w:p>
        </w:tc>
      </w:tr>
      <w:tr w14:paraId="395D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21DCA229">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Respiratorni, torakalni i medijastinalni poremećaji</w:t>
            </w:r>
          </w:p>
        </w:tc>
        <w:tc>
          <w:tcPr>
            <w:tcW w:w="2339" w:type="dxa"/>
            <w:shd w:val="clear" w:color="auto" w:fill="auto"/>
          </w:tcPr>
          <w:p w14:paraId="1500F660">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60F886EE">
            <w:pPr>
              <w:rPr>
                <w:rFonts w:ascii="Microsoft Sans Serif" w:hAnsi="Microsoft Sans Serif" w:cs="Microsoft Sans Serif"/>
                <w:sz w:val="20"/>
                <w:szCs w:val="20"/>
              </w:rPr>
            </w:pPr>
            <w:r>
              <w:rPr>
                <w:rFonts w:ascii="Microsoft Sans Serif" w:hAnsi="Microsoft Sans Serif" w:cs="Microsoft Sans Serif"/>
                <w:sz w:val="20"/>
                <w:szCs w:val="20"/>
              </w:rPr>
              <w:t>Reaktivnost disajnih puteva uključujući astmu, pogoršanje astme, bronhospazam i nedostatak vazduha.</w:t>
            </w:r>
          </w:p>
        </w:tc>
      </w:tr>
      <w:tr w14:paraId="4869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shd w:val="clear" w:color="auto" w:fill="auto"/>
          </w:tcPr>
          <w:p w14:paraId="4C2AEE6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Gastrointestinalni poremećaji</w:t>
            </w:r>
          </w:p>
        </w:tc>
        <w:tc>
          <w:tcPr>
            <w:tcW w:w="2339" w:type="dxa"/>
            <w:shd w:val="clear" w:color="auto" w:fill="auto"/>
          </w:tcPr>
          <w:p w14:paraId="560C25A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p w14:paraId="2B0E9520">
            <w:pPr>
              <w:rPr>
                <w:rFonts w:ascii="Microsoft Sans Serif" w:hAnsi="Microsoft Sans Serif" w:cs="Microsoft Sans Serif"/>
                <w:sz w:val="20"/>
                <w:szCs w:val="20"/>
              </w:rPr>
            </w:pPr>
          </w:p>
        </w:tc>
        <w:tc>
          <w:tcPr>
            <w:tcW w:w="4424" w:type="dxa"/>
            <w:shd w:val="clear" w:color="auto" w:fill="auto"/>
          </w:tcPr>
          <w:p w14:paraId="697BAB56">
            <w:pPr>
              <w:rPr>
                <w:rFonts w:ascii="Microsoft Sans Serif" w:hAnsi="Microsoft Sans Serif" w:cs="Microsoft Sans Serif"/>
                <w:sz w:val="20"/>
                <w:szCs w:val="20"/>
              </w:rPr>
            </w:pPr>
            <w:r>
              <w:rPr>
                <w:rFonts w:ascii="Microsoft Sans Serif" w:hAnsi="Microsoft Sans Serif" w:cs="Microsoft Sans Serif"/>
                <w:sz w:val="20"/>
                <w:szCs w:val="20"/>
                <w:lang w:val="sr-Cyrl-RS"/>
              </w:rPr>
              <w:t>Abdominalni bol, dijareja, dispepsija, mučnina, nelagodnost u stomaku, povraćanje</w:t>
            </w:r>
            <w:r>
              <w:rPr>
                <w:rFonts w:ascii="Microsoft Sans Serif" w:hAnsi="Microsoft Sans Serif" w:cs="Microsoft Sans Serif"/>
                <w:sz w:val="20"/>
                <w:szCs w:val="20"/>
              </w:rPr>
              <w:t>.</w:t>
            </w:r>
          </w:p>
        </w:tc>
      </w:tr>
      <w:tr w14:paraId="68BF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continue"/>
            <w:shd w:val="clear" w:color="auto" w:fill="auto"/>
          </w:tcPr>
          <w:p w14:paraId="7FC07EE2">
            <w:pPr>
              <w:rPr>
                <w:rFonts w:ascii="Microsoft Sans Serif" w:hAnsi="Microsoft Sans Serif" w:cs="Microsoft Sans Serif"/>
                <w:sz w:val="20"/>
                <w:szCs w:val="20"/>
              </w:rPr>
            </w:pPr>
          </w:p>
        </w:tc>
        <w:tc>
          <w:tcPr>
            <w:tcW w:w="2339" w:type="dxa"/>
            <w:shd w:val="clear" w:color="auto" w:fill="auto"/>
          </w:tcPr>
          <w:p w14:paraId="16D0AA8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p w14:paraId="5E2AAB6C">
            <w:pPr>
              <w:rPr>
                <w:rFonts w:ascii="Microsoft Sans Serif" w:hAnsi="Microsoft Sans Serif" w:cs="Microsoft Sans Serif"/>
                <w:sz w:val="20"/>
                <w:szCs w:val="20"/>
              </w:rPr>
            </w:pPr>
          </w:p>
        </w:tc>
        <w:tc>
          <w:tcPr>
            <w:tcW w:w="4424" w:type="dxa"/>
            <w:shd w:val="clear" w:color="auto" w:fill="auto"/>
          </w:tcPr>
          <w:p w14:paraId="25FF38C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Flatulencija i konstipacija.</w:t>
            </w:r>
          </w:p>
          <w:p w14:paraId="4B3235B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w:t>
            </w:r>
            <w:r>
              <w:rPr>
                <w:rFonts w:ascii="Microsoft Sans Serif" w:hAnsi="Microsoft Sans Serif" w:cs="Microsoft Sans Serif"/>
                <w:sz w:val="20"/>
                <w:szCs w:val="20"/>
              </w:rPr>
              <w:t xml:space="preserve"> ulkus</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perforacija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gastrointestinalno krvarenje koje se manifestuje kao melena</w:t>
            </w:r>
            <w:r>
              <w:rPr>
                <w:rFonts w:ascii="Microsoft Sans Serif" w:hAnsi="Microsoft Sans Serif" w:cs="Microsoft Sans Serif"/>
                <w:sz w:val="20"/>
                <w:szCs w:val="20"/>
                <w:lang w:val="sr-Cyrl-RS"/>
              </w:rPr>
              <w:t xml:space="preserve"> ili </w:t>
            </w:r>
            <w:r>
              <w:rPr>
                <w:rFonts w:ascii="Microsoft Sans Serif" w:hAnsi="Microsoft Sans Serif" w:cs="Microsoft Sans Serif"/>
                <w:sz w:val="20"/>
                <w:szCs w:val="20"/>
              </w:rPr>
              <w:t>hematemeza</w:t>
            </w:r>
            <w:r>
              <w:rPr>
                <w:rFonts w:ascii="Microsoft Sans Serif" w:hAnsi="Microsoft Sans Serif" w:cs="Microsoft Sans Serif"/>
                <w:sz w:val="20"/>
                <w:szCs w:val="20"/>
                <w:lang w:val="sr-Cyrl-RS"/>
              </w:rPr>
              <w:t>, ponekad sa smrtnim ishodom posebno kod starijih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60444868">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Ulcerozni stomatitis</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egzacerbacija kolitisa i Kronova bolest nakon primjene lijeka (pogledati dio 4.4).</w:t>
            </w:r>
          </w:p>
          <w:p w14:paraId="369AB93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v-SE"/>
              </w:rPr>
              <w:t>astritis i pankreatitis su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manje učestalo.</w:t>
            </w:r>
          </w:p>
        </w:tc>
      </w:tr>
      <w:tr w14:paraId="7A08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0D004AB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Hepatobilijarni poremećaji</w:t>
            </w:r>
          </w:p>
        </w:tc>
        <w:tc>
          <w:tcPr>
            <w:tcW w:w="2339" w:type="dxa"/>
            <w:shd w:val="clear" w:color="auto" w:fill="auto"/>
          </w:tcPr>
          <w:p w14:paraId="2C63F5D1">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11DA2D4B">
            <w:pPr>
              <w:rPr>
                <w:rFonts w:ascii="Microsoft Sans Serif" w:hAnsi="Microsoft Sans Serif" w:cs="Microsoft Sans Serif"/>
                <w:sz w:val="20"/>
                <w:szCs w:val="20"/>
                <w:lang w:val="sr-Cyrl-RS"/>
              </w:rPr>
            </w:pPr>
            <w:r>
              <w:rPr>
                <w:rFonts w:ascii="Microsoft Sans Serif" w:hAnsi="Microsoft Sans Serif" w:cs="Microsoft Sans Serif"/>
                <w:sz w:val="20"/>
                <w:szCs w:val="20"/>
              </w:rPr>
              <w:t>Poremećaj funkcije jetre, hepatitis i žutica</w:t>
            </w:r>
            <w:r>
              <w:rPr>
                <w:rFonts w:ascii="Microsoft Sans Serif" w:hAnsi="Microsoft Sans Serif" w:cs="Microsoft Sans Serif"/>
                <w:sz w:val="20"/>
                <w:szCs w:val="20"/>
                <w:lang w:val="sr-Cyrl-RS"/>
              </w:rPr>
              <w:t xml:space="preserve">. Kod predoziranja paracetamolom mogu se javiti akutna insuficijencija jetre, insuficijencija jetre, nekroza jetre i oštećenje funkcije jetre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4.9).</w:t>
            </w:r>
          </w:p>
        </w:tc>
      </w:tr>
      <w:tr w14:paraId="2010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shd w:val="clear" w:color="auto" w:fill="auto"/>
          </w:tcPr>
          <w:p w14:paraId="78140FF1">
            <w:pPr>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Poremećaji kože i potkožnog tkiva</w:t>
            </w:r>
          </w:p>
        </w:tc>
        <w:tc>
          <w:tcPr>
            <w:tcW w:w="2339" w:type="dxa"/>
            <w:shd w:val="clear" w:color="auto" w:fill="auto"/>
          </w:tcPr>
          <w:p w14:paraId="34B4945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p w14:paraId="0EAC07A8">
            <w:pPr>
              <w:rPr>
                <w:rFonts w:ascii="Microsoft Sans Serif" w:hAnsi="Microsoft Sans Serif" w:cs="Microsoft Sans Serif"/>
                <w:sz w:val="20"/>
                <w:szCs w:val="20"/>
                <w:lang w:val="sr-Cyrl-RS"/>
              </w:rPr>
            </w:pPr>
          </w:p>
        </w:tc>
        <w:tc>
          <w:tcPr>
            <w:tcW w:w="4424" w:type="dxa"/>
            <w:shd w:val="clear" w:color="auto" w:fill="auto"/>
          </w:tcPr>
          <w:p w14:paraId="78AE6C0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Različiti osipi na koži, uklјučujući pruritus i urtikariju.</w:t>
            </w:r>
          </w:p>
          <w:p w14:paraId="56734AF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Angioedem i otok lica.</w:t>
            </w:r>
          </w:p>
        </w:tc>
      </w:tr>
      <w:tr w14:paraId="2346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continue"/>
            <w:shd w:val="clear" w:color="auto" w:fill="auto"/>
          </w:tcPr>
          <w:p w14:paraId="40D1F66E">
            <w:pPr>
              <w:rPr>
                <w:rFonts w:ascii="Microsoft Sans Serif" w:hAnsi="Microsoft Sans Serif" w:cs="Microsoft Sans Serif"/>
                <w:sz w:val="20"/>
                <w:szCs w:val="20"/>
              </w:rPr>
            </w:pPr>
          </w:p>
        </w:tc>
        <w:tc>
          <w:tcPr>
            <w:tcW w:w="2339" w:type="dxa"/>
            <w:shd w:val="clear" w:color="auto" w:fill="auto"/>
          </w:tcPr>
          <w:p w14:paraId="51E7AF4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p w14:paraId="403D18E8">
            <w:pPr>
              <w:rPr>
                <w:rFonts w:ascii="Microsoft Sans Serif" w:hAnsi="Microsoft Sans Serif" w:cs="Microsoft Sans Serif"/>
                <w:sz w:val="20"/>
                <w:szCs w:val="20"/>
              </w:rPr>
            </w:pPr>
          </w:p>
        </w:tc>
        <w:tc>
          <w:tcPr>
            <w:tcW w:w="4424" w:type="dxa"/>
            <w:shd w:val="clear" w:color="auto" w:fill="auto"/>
          </w:tcPr>
          <w:p w14:paraId="02F1406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Hiperhidroza, purpura.</w:t>
            </w:r>
          </w:p>
          <w:p w14:paraId="7C401A6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Eksfolijativna dermatoza.</w:t>
            </w:r>
          </w:p>
          <w:p w14:paraId="320B0F01">
            <w:pPr>
              <w:rPr>
                <w:rFonts w:ascii="Microsoft Sans Serif" w:hAnsi="Microsoft Sans Serif" w:cs="Microsoft Sans Serif"/>
                <w:sz w:val="20"/>
                <w:szCs w:val="20"/>
              </w:rPr>
            </w:pPr>
            <w:r>
              <w:rPr>
                <w:rFonts w:ascii="Microsoft Sans Serif" w:hAnsi="Microsoft Sans Serif" w:cs="Microsoft Sans Serif"/>
                <w:sz w:val="20"/>
                <w:szCs w:val="20"/>
              </w:rPr>
              <w:t>Bulozne reakcije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multiformni eritem</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Stevens-Johnson-ov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 i toksičnu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epidermalnu nekrolizu.</w:t>
            </w:r>
          </w:p>
          <w:p w14:paraId="424319ED">
            <w:pPr>
              <w:jc w:val="left"/>
              <w:rPr>
                <w:rFonts w:ascii="Microsoft Sans Serif" w:hAnsi="Microsoft Sans Serif" w:cs="Microsoft Sans Serif"/>
                <w:sz w:val="20"/>
                <w:szCs w:val="20"/>
              </w:rPr>
            </w:pPr>
            <w:r>
              <w:rPr>
                <w:rFonts w:ascii="Microsoft Sans Serif" w:hAnsi="Microsoft Sans Serif" w:cs="Microsoft Sans Serif"/>
                <w:sz w:val="20"/>
                <w:szCs w:val="20"/>
              </w:rPr>
              <w:t>Veoma rijetki slučajevi ozbiljnih kožnih reakcija</w:t>
            </w:r>
          </w:p>
        </w:tc>
      </w:tr>
      <w:tr w14:paraId="721E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5DA0964B">
            <w:pPr>
              <w:rPr>
                <w:rFonts w:ascii="Microsoft Sans Serif" w:hAnsi="Microsoft Sans Serif" w:cs="Microsoft Sans Serif"/>
                <w:sz w:val="20"/>
                <w:szCs w:val="20"/>
              </w:rPr>
            </w:pPr>
          </w:p>
        </w:tc>
        <w:tc>
          <w:tcPr>
            <w:tcW w:w="2339" w:type="dxa"/>
            <w:shd w:val="clear" w:color="auto" w:fill="auto"/>
          </w:tcPr>
          <w:p w14:paraId="74B2A54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p w14:paraId="047B22BC">
            <w:pPr>
              <w:rPr>
                <w:rFonts w:ascii="Microsoft Sans Serif" w:hAnsi="Microsoft Sans Serif" w:cs="Microsoft Sans Serif"/>
                <w:sz w:val="20"/>
                <w:szCs w:val="20"/>
                <w:lang w:val="sr-Cyrl-RS"/>
              </w:rPr>
            </w:pPr>
          </w:p>
        </w:tc>
        <w:tc>
          <w:tcPr>
            <w:tcW w:w="4424" w:type="dxa"/>
            <w:shd w:val="clear" w:color="auto" w:fill="auto"/>
          </w:tcPr>
          <w:p w14:paraId="02F031A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Reakcija na lijek sa eozinofilijom i sistemskim</w:t>
            </w:r>
            <w:r>
              <w:rPr>
                <w:rFonts w:ascii="Microsoft Sans Serif" w:hAnsi="Microsoft Sans Serif" w:cs="Microsoft Sans Serif"/>
                <w:sz w:val="20"/>
                <w:szCs w:val="20"/>
                <w:lang w:val="sr-Cyrl-RS"/>
              </w:rPr>
              <w:t xml:space="preserve"> simptomima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(DRESS sindrom)</w:t>
            </w:r>
            <w:r>
              <w:rPr>
                <w:rFonts w:ascii="Microsoft Sans Serif" w:hAnsi="Microsoft Sans Serif" w:cs="Microsoft Sans Serif"/>
                <w:sz w:val="20"/>
                <w:szCs w:val="20"/>
                <w:lang w:val="sr-Cyrl-RS"/>
              </w:rPr>
              <w:t>.</w:t>
            </w:r>
          </w:p>
          <w:p w14:paraId="0AA66CA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Akutna generalizovana egzematozna pustuloza (AGEP).</w:t>
            </w:r>
          </w:p>
          <w:p w14:paraId="53AEC091">
            <w:pPr>
              <w:jc w:val="left"/>
              <w:rPr>
                <w:rFonts w:ascii="Microsoft Sans Serif" w:hAnsi="Microsoft Sans Serif" w:cs="Microsoft Sans Serif"/>
                <w:sz w:val="20"/>
                <w:szCs w:val="20"/>
              </w:rPr>
            </w:pPr>
            <w:r>
              <w:rPr>
                <w:rFonts w:ascii="Microsoft Sans Serif" w:hAnsi="Microsoft Sans Serif" w:cs="Microsoft Sans Serif"/>
                <w:sz w:val="20"/>
                <w:szCs w:val="20"/>
                <w:lang w:val="sr-Latn-RS"/>
              </w:rPr>
              <w:t>Fotosenzitivne reakcije</w:t>
            </w:r>
            <w:r>
              <w:rPr>
                <w:rFonts w:ascii="Microsoft Sans Serif" w:hAnsi="Microsoft Sans Serif" w:cs="Microsoft Sans Serif"/>
                <w:sz w:val="20"/>
                <w:szCs w:val="20"/>
              </w:rPr>
              <w:t>.</w:t>
            </w:r>
          </w:p>
        </w:tc>
      </w:tr>
      <w:tr w14:paraId="674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14014D93">
            <w:pPr>
              <w:autoSpaceDE w:val="0"/>
              <w:autoSpaceDN w:val="0"/>
              <w:adjustRightInd w:val="0"/>
              <w:jc w:val="left"/>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bubrega i urinarnog sistema</w:t>
            </w:r>
          </w:p>
          <w:p w14:paraId="1109BFDF">
            <w:pPr>
              <w:rPr>
                <w:rFonts w:ascii="Microsoft Sans Serif" w:hAnsi="Microsoft Sans Serif" w:cs="Microsoft Sans Serif"/>
                <w:sz w:val="20"/>
                <w:szCs w:val="20"/>
              </w:rPr>
            </w:pPr>
          </w:p>
        </w:tc>
        <w:tc>
          <w:tcPr>
            <w:tcW w:w="2339" w:type="dxa"/>
            <w:shd w:val="clear" w:color="auto" w:fill="auto"/>
          </w:tcPr>
          <w:p w14:paraId="3E127BB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p w14:paraId="6621140A">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tc>
        <w:tc>
          <w:tcPr>
            <w:tcW w:w="4424" w:type="dxa"/>
            <w:shd w:val="clear" w:color="auto" w:fill="auto"/>
          </w:tcPr>
          <w:p w14:paraId="19C64B6E">
            <w:pPr>
              <w:rPr>
                <w:rFonts w:ascii="Microsoft Sans Serif" w:hAnsi="Microsoft Sans Serif" w:cs="Microsoft Sans Serif"/>
                <w:sz w:val="20"/>
                <w:szCs w:val="20"/>
              </w:rPr>
            </w:pPr>
            <w:r>
              <w:rPr>
                <w:rFonts w:ascii="Microsoft Sans Serif" w:hAnsi="Microsoft Sans Serif" w:cs="Microsoft Sans Serif"/>
                <w:sz w:val="20"/>
                <w:szCs w:val="20"/>
              </w:rPr>
              <w:t>Nefrotoksičnost u različitim oblicima,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intersticijalni nefritis, nefrotski sindrom i akutnu i</w:t>
            </w:r>
            <w:r>
              <w:rPr>
                <w:rFonts w:ascii="Microsoft Sans Serif" w:hAnsi="Microsoft Sans Serif" w:cs="Microsoft Sans Serif"/>
                <w:sz w:val="20"/>
                <w:szCs w:val="20"/>
                <w:lang w:val="sr-Cyrl-RS"/>
              </w:rPr>
              <w:t xml:space="preserve">li </w:t>
            </w:r>
            <w:r>
              <w:rPr>
                <w:rFonts w:ascii="Microsoft Sans Serif" w:hAnsi="Microsoft Sans Serif" w:cs="Microsoft Sans Serif"/>
                <w:sz w:val="20"/>
                <w:szCs w:val="20"/>
              </w:rPr>
              <w:t>hroničnu bubrežnu insuficijenciju</w:t>
            </w:r>
            <w:r>
              <w:rPr>
                <w:rFonts w:ascii="Microsoft Sans Serif" w:hAnsi="Microsoft Sans Serif" w:cs="Microsoft Sans Serif"/>
                <w:sz w:val="20"/>
                <w:szCs w:val="20"/>
                <w:lang w:val="sr-Cyrl-RS"/>
              </w:rPr>
              <w:t>.</w:t>
            </w:r>
          </w:p>
        </w:tc>
      </w:tr>
      <w:tr w14:paraId="340C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64C981EE">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r-Cyrl-RS"/>
              </w:rPr>
              <w:t>Opšti poremećaji i reakcije  na mestu prim</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ene</w:t>
            </w:r>
          </w:p>
        </w:tc>
        <w:tc>
          <w:tcPr>
            <w:tcW w:w="2339" w:type="dxa"/>
            <w:shd w:val="clear" w:color="auto" w:fill="auto"/>
          </w:tcPr>
          <w:p w14:paraId="218A719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p w14:paraId="57335C94">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tc>
        <w:tc>
          <w:tcPr>
            <w:tcW w:w="4424" w:type="dxa"/>
            <w:shd w:val="clear" w:color="auto" w:fill="auto"/>
          </w:tcPr>
          <w:p w14:paraId="68738D9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Zamor i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ećaj slabosti.</w:t>
            </w:r>
          </w:p>
        </w:tc>
      </w:tr>
      <w:tr w14:paraId="03FF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shd w:val="clear" w:color="auto" w:fill="auto"/>
          </w:tcPr>
          <w:p w14:paraId="55EA48A2">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Ispitivanja</w:t>
            </w:r>
          </w:p>
        </w:tc>
        <w:tc>
          <w:tcPr>
            <w:tcW w:w="2339" w:type="dxa"/>
            <w:shd w:val="clear" w:color="auto" w:fill="auto"/>
          </w:tcPr>
          <w:p w14:paraId="1EFCFA4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p w14:paraId="6A1A8009">
            <w:pPr>
              <w:rPr>
                <w:rFonts w:ascii="Microsoft Sans Serif" w:hAnsi="Microsoft Sans Serif" w:cs="Microsoft Sans Serif"/>
                <w:sz w:val="20"/>
                <w:szCs w:val="20"/>
              </w:rPr>
            </w:pPr>
          </w:p>
        </w:tc>
        <w:tc>
          <w:tcPr>
            <w:tcW w:w="4424" w:type="dxa"/>
            <w:shd w:val="clear" w:color="auto" w:fill="auto"/>
          </w:tcPr>
          <w:p w14:paraId="15AEB7FB">
            <w:pPr>
              <w:rPr>
                <w:rFonts w:ascii="Microsoft Sans Serif" w:hAnsi="Microsoft Sans Serif" w:cs="Microsoft Sans Serif"/>
                <w:sz w:val="20"/>
                <w:szCs w:val="20"/>
              </w:rPr>
            </w:pPr>
            <w:r>
              <w:rPr>
                <w:rFonts w:ascii="Microsoft Sans Serif" w:hAnsi="Microsoft Sans Serif" w:cs="Microsoft Sans Serif"/>
                <w:sz w:val="20"/>
                <w:szCs w:val="20"/>
              </w:rPr>
              <w:t xml:space="preserve">Povećanje vrijednosti alanin aminotransferaze, povećanje aktivnosti gama glutamiltransferaze i izmjenjeni parametri pokazatelja funkcije jetre </w:t>
            </w:r>
            <w:r>
              <w:rPr>
                <w:rFonts w:ascii="Microsoft Sans Serif" w:hAnsi="Microsoft Sans Serif" w:cs="Microsoft Sans Serif"/>
                <w:sz w:val="20"/>
                <w:szCs w:val="20"/>
                <w:lang w:val="sr-Cyrl-RS"/>
              </w:rPr>
              <w:t>nakon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 paracetamola.</w:t>
            </w:r>
          </w:p>
          <w:p w14:paraId="6AD4E26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Povećanje koncentracije kreatinina i uree u krvi. </w:t>
            </w:r>
          </w:p>
        </w:tc>
      </w:tr>
      <w:tr w14:paraId="52F0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continue"/>
            <w:shd w:val="clear" w:color="auto" w:fill="auto"/>
          </w:tcPr>
          <w:p w14:paraId="04F8F87B">
            <w:pPr>
              <w:rPr>
                <w:rFonts w:ascii="Microsoft Sans Serif" w:hAnsi="Microsoft Sans Serif" w:cs="Microsoft Sans Serif"/>
                <w:sz w:val="20"/>
                <w:szCs w:val="20"/>
                <w:lang w:val="sv-SE"/>
              </w:rPr>
            </w:pPr>
          </w:p>
        </w:tc>
        <w:tc>
          <w:tcPr>
            <w:tcW w:w="2339" w:type="dxa"/>
            <w:shd w:val="clear" w:color="auto" w:fill="auto"/>
          </w:tcPr>
          <w:p w14:paraId="5FD2B06C">
            <w:pPr>
              <w:rPr>
                <w:rFonts w:ascii="Microsoft Sans Serif" w:hAnsi="Microsoft Sans Serif" w:cs="Microsoft Sans Serif"/>
                <w:sz w:val="20"/>
                <w:szCs w:val="20"/>
              </w:rPr>
            </w:pPr>
            <w:r>
              <w:rPr>
                <w:rFonts w:ascii="Microsoft Sans Serif" w:hAnsi="Microsoft Sans Serif" w:cs="Microsoft Sans Serif"/>
                <w:sz w:val="20"/>
                <w:szCs w:val="20"/>
                <w:lang w:val="sr-Cyrl-RS"/>
              </w:rPr>
              <w:t>Povremeno</w:t>
            </w:r>
            <w:r>
              <w:rPr>
                <w:rFonts w:ascii="Microsoft Sans Serif" w:hAnsi="Microsoft Sans Serif" w:cs="Microsoft Sans Serif"/>
                <w:sz w:val="20"/>
                <w:szCs w:val="20"/>
              </w:rPr>
              <w:t xml:space="preserve"> </w:t>
            </w:r>
          </w:p>
        </w:tc>
        <w:tc>
          <w:tcPr>
            <w:tcW w:w="4424" w:type="dxa"/>
            <w:shd w:val="clear" w:color="auto" w:fill="auto"/>
          </w:tcPr>
          <w:p w14:paraId="6127E7B4">
            <w:pPr>
              <w:rPr>
                <w:rFonts w:ascii="Microsoft Sans Serif" w:hAnsi="Microsoft Sans Serif" w:cs="Microsoft Sans Serif"/>
                <w:sz w:val="20"/>
                <w:szCs w:val="20"/>
              </w:rPr>
            </w:pPr>
            <w:r>
              <w:rPr>
                <w:rFonts w:ascii="Microsoft Sans Serif" w:hAnsi="Microsoft Sans Serif" w:cs="Microsoft Sans Serif"/>
                <w:sz w:val="20"/>
                <w:szCs w:val="20"/>
              </w:rPr>
              <w:t>Povećanje vrijednosti aspartat aminotransferaze,</w:t>
            </w:r>
            <w:r>
              <w:rPr>
                <w:rFonts w:ascii="Microsoft Sans Serif" w:hAnsi="Microsoft Sans Serif" w:cs="Microsoft Sans Serif"/>
                <w:sz w:val="20"/>
                <w:szCs w:val="20"/>
                <w:lang w:val="sr-Cyrl-RS"/>
              </w:rPr>
              <w:t xml:space="preserve"> pove</w:t>
            </w:r>
            <w:r>
              <w:rPr>
                <w:rFonts w:ascii="Microsoft Sans Serif" w:hAnsi="Microsoft Sans Serif" w:cs="Microsoft Sans Serif"/>
                <w:sz w:val="20"/>
                <w:szCs w:val="20"/>
                <w:lang w:val="sr-Latn-RS"/>
              </w:rPr>
              <w:t>ć</w:t>
            </w:r>
            <w:r>
              <w:rPr>
                <w:rFonts w:ascii="Microsoft Sans Serif" w:hAnsi="Microsoft Sans Serif" w:cs="Microsoft Sans Serif"/>
                <w:sz w:val="20"/>
                <w:szCs w:val="20"/>
                <w:lang w:val="sr-Cyrl-RS"/>
              </w:rPr>
              <w:t xml:space="preserve">anje </w:t>
            </w:r>
            <w:r>
              <w:rPr>
                <w:rFonts w:ascii="Microsoft Sans Serif" w:hAnsi="Microsoft Sans Serif" w:cs="Microsoft Sans Serif"/>
                <w:sz w:val="20"/>
                <w:szCs w:val="20"/>
              </w:rPr>
              <w:t>alkalne fosfataze</w:t>
            </w:r>
            <w:r>
              <w:rPr>
                <w:rFonts w:ascii="Microsoft Sans Serif" w:hAnsi="Microsoft Sans Serif" w:cs="Microsoft Sans Serif"/>
                <w:sz w:val="20"/>
                <w:szCs w:val="20"/>
                <w:lang w:val="sr-Cyrl-RS"/>
              </w:rPr>
              <w:t xml:space="preserve"> u krvi</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povećanje</w:t>
            </w:r>
            <w:r>
              <w:rPr>
                <w:rFonts w:ascii="Microsoft Sans Serif" w:hAnsi="Microsoft Sans Serif" w:cs="Microsoft Sans Serif"/>
                <w:sz w:val="20"/>
                <w:szCs w:val="20"/>
              </w:rPr>
              <w:t xml:space="preserve"> kreatin fosfokinaze</w:t>
            </w:r>
            <w:r>
              <w:rPr>
                <w:rFonts w:ascii="Microsoft Sans Serif" w:hAnsi="Microsoft Sans Serif" w:cs="Microsoft Sans Serif"/>
                <w:sz w:val="20"/>
                <w:szCs w:val="20"/>
                <w:lang w:val="sr-Cyrl-RS"/>
              </w:rPr>
              <w:t xml:space="preserve"> u krvi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manjenje koncentracije hemoglobina, 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povećanje broja trombocita. </w:t>
            </w:r>
          </w:p>
        </w:tc>
      </w:tr>
    </w:tbl>
    <w:p w14:paraId="2447BB9E">
      <w:pPr>
        <w:rPr>
          <w:rFonts w:ascii="Microsoft Sans Serif" w:hAnsi="Microsoft Sans Serif" w:cs="Microsoft Sans Serif"/>
          <w:sz w:val="20"/>
          <w:szCs w:val="20"/>
        </w:rPr>
      </w:pPr>
    </w:p>
    <w:p w14:paraId="6EF56740">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5786EDB2">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6E59B1C8">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020649FC">
      <w:pPr>
        <w:numPr>
          <w:ilvl w:val="0"/>
          <w:numId w:val="5"/>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4650F3A1">
      <w:pPr>
        <w:numPr>
          <w:ilvl w:val="0"/>
          <w:numId w:val="5"/>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2A9F5257">
      <w:pPr>
        <w:rPr>
          <w:rFonts w:ascii="Microsoft Sans Serif" w:hAnsi="Microsoft Sans Serif" w:cs="Microsoft Sans Serif"/>
          <w:sz w:val="20"/>
          <w:szCs w:val="20"/>
          <w:lang w:val="bs-Latn-BA"/>
        </w:rPr>
      </w:pPr>
    </w:p>
    <w:p w14:paraId="3D269ED5">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0DA8394F">
      <w:pPr>
        <w:rPr>
          <w:rFonts w:ascii="Microsoft Sans Serif" w:hAnsi="Microsoft Sans Serif" w:cs="Microsoft Sans Serif"/>
          <w:b/>
          <w:bCs/>
          <w:sz w:val="20"/>
          <w:szCs w:val="20"/>
          <w:lang w:val="bs-Latn-BA"/>
        </w:rPr>
      </w:pPr>
    </w:p>
    <w:p w14:paraId="09AB3CB5">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Paracetamol</w:t>
      </w:r>
    </w:p>
    <w:p w14:paraId="0944974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bs-Latn-BA"/>
        </w:rPr>
        <w:t>Oštećenje jetre je moguće kod odraslih koji uzmu 10</w:t>
      </w:r>
      <w:r>
        <w:rPr>
          <w:rFonts w:ascii="Microsoft Sans Serif" w:hAnsi="Microsoft Sans Serif" w:cs="Microsoft Sans Serif"/>
          <w:bCs/>
          <w:sz w:val="20"/>
          <w:szCs w:val="20"/>
          <w:lang w:val="sr-Latn-RS"/>
        </w:rPr>
        <w:t xml:space="preserve"> g</w:t>
      </w:r>
      <w:r>
        <w:rPr>
          <w:rFonts w:ascii="Microsoft Sans Serif" w:hAnsi="Microsoft Sans Serif" w:cs="Microsoft Sans Serif"/>
          <w:bCs/>
          <w:sz w:val="20"/>
          <w:szCs w:val="20"/>
          <w:lang w:val="bs-Latn-BA"/>
        </w:rPr>
        <w:t xml:space="preserve"> (ekvivalentno 20 tableta) ili više paracetamola.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Gutanje</w:t>
      </w:r>
      <w:r>
        <w:rPr>
          <w:rFonts w:ascii="Microsoft Sans Serif" w:hAnsi="Microsoft Sans Serif" w:cs="Microsoft Sans Serif"/>
          <w:bCs/>
          <w:sz w:val="20"/>
          <w:szCs w:val="20"/>
          <w:lang w:val="sr-Cyrl-RS"/>
        </w:rPr>
        <w:t xml:space="preserve"> 5 </w:t>
      </w:r>
      <w:r>
        <w:rPr>
          <w:rFonts w:ascii="Microsoft Sans Serif" w:hAnsi="Microsoft Sans Serif" w:cs="Microsoft Sans Serif"/>
          <w:bCs/>
          <w:sz w:val="20"/>
          <w:szCs w:val="20"/>
        </w:rPr>
        <w:t>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ekvivalentno</w:t>
      </w:r>
      <w:r>
        <w:rPr>
          <w:rFonts w:ascii="Microsoft Sans Serif" w:hAnsi="Microsoft Sans Serif" w:cs="Microsoft Sans Serif"/>
          <w:bCs/>
          <w:sz w:val="20"/>
          <w:szCs w:val="20"/>
          <w:lang w:val="sr-Cyrl-RS"/>
        </w:rPr>
        <w:t xml:space="preserve"> 10 </w:t>
      </w:r>
      <w:r>
        <w:rPr>
          <w:rFonts w:ascii="Microsoft Sans Serif" w:hAnsi="Microsoft Sans Serif" w:cs="Microsoft Sans Serif"/>
          <w:bCs/>
          <w:sz w:val="20"/>
          <w:szCs w:val="20"/>
        </w:rPr>
        <w:t>tableta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paracetamola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dovesti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jetre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faktora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rizika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navedeni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nastavku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teksta</w:t>
      </w:r>
      <w:r>
        <w:rPr>
          <w:rFonts w:ascii="Microsoft Sans Serif" w:hAnsi="Microsoft Sans Serif" w:cs="Microsoft Sans Serif"/>
          <w:bCs/>
          <w:sz w:val="20"/>
          <w:szCs w:val="20"/>
          <w:lang w:val="sr-Cyrl-RS"/>
        </w:rPr>
        <w:t>:</w:t>
      </w:r>
    </w:p>
    <w:p w14:paraId="276CB9D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dugotrajnoj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karbamazepinom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fenobarbitonom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fenitoinom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primidonom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rifampicinom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kantarionom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drugim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indukuju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enzime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jetre</w:t>
      </w:r>
      <w:r>
        <w:rPr>
          <w:rFonts w:ascii="Microsoft Sans Serif" w:hAnsi="Microsoft Sans Serif" w:cs="Microsoft Sans Serif"/>
          <w:bCs/>
          <w:sz w:val="20"/>
          <w:szCs w:val="20"/>
          <w:lang w:val="sr-Cyrl-RS"/>
        </w:rPr>
        <w:t>,</w:t>
      </w:r>
    </w:p>
    <w:p w14:paraId="112148C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redovno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konzumira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alkohol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koli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inama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dozvol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w:t>
      </w:r>
    </w:p>
    <w:p w14:paraId="44F23A4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c</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postoji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vjerovatno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manjak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glutationa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npr</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zbog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ishrani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cisti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fibroze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HIV</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infekcije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gladovanja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kaheksije</w:t>
      </w:r>
      <w:r>
        <w:rPr>
          <w:rFonts w:ascii="Microsoft Sans Serif" w:hAnsi="Microsoft Sans Serif" w:cs="Microsoft Sans Serif"/>
          <w:bCs/>
          <w:sz w:val="20"/>
          <w:szCs w:val="20"/>
          <w:lang w:val="sr-Cyrl-RS"/>
        </w:rPr>
        <w:t>.</w:t>
      </w:r>
    </w:p>
    <w:p w14:paraId="1BB1DDC1">
      <w:pPr>
        <w:rPr>
          <w:rFonts w:ascii="Microsoft Sans Serif" w:hAnsi="Microsoft Sans Serif" w:cs="Microsoft Sans Serif"/>
          <w:sz w:val="20"/>
          <w:szCs w:val="20"/>
          <w:lang w:val="sr-Cyrl-RS"/>
        </w:rPr>
      </w:pPr>
    </w:p>
    <w:p w14:paraId="1194FE8C">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Simptomi</w:t>
      </w:r>
      <w:r>
        <w:rPr>
          <w:rFonts w:ascii="Microsoft Sans Serif" w:hAnsi="Microsoft Sans Serif" w:cs="Microsoft Sans Serif"/>
          <w:b/>
          <w:sz w:val="20"/>
          <w:szCs w:val="20"/>
          <w:lang w:val="sr-Cyrl-RS"/>
        </w:rPr>
        <w:t xml:space="preserve"> predoziranja</w:t>
      </w:r>
    </w:p>
    <w:p w14:paraId="1BF5F4A3">
      <w:pPr>
        <w:rPr>
          <w:rFonts w:ascii="Microsoft Sans Serif" w:hAnsi="Microsoft Sans Serif" w:cs="Microsoft Sans Serif"/>
          <w:sz w:val="20"/>
          <w:szCs w:val="20"/>
          <w:lang w:val="sr-Cyrl-RS"/>
        </w:rPr>
      </w:pP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prvih</w:t>
      </w:r>
      <w:r>
        <w:rPr>
          <w:rFonts w:ascii="Microsoft Sans Serif" w:hAnsi="Microsoft Sans Serif" w:cs="Microsoft Sans Serif"/>
          <w:sz w:val="20"/>
          <w:szCs w:val="20"/>
          <w:lang w:val="sr-Cyrl-RS"/>
        </w:rPr>
        <w:t xml:space="preserve"> 24 </w:t>
      </w:r>
      <w:r>
        <w:rPr>
          <w:rFonts w:ascii="Microsoft Sans Serif" w:hAnsi="Microsoft Sans Serif" w:cs="Microsoft Sans Serif"/>
          <w:sz w:val="20"/>
          <w:szCs w:val="20"/>
        </w:rPr>
        <w:t>sata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blijedilo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anoreksiju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stomaku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igledno</w:t>
      </w:r>
      <w:r>
        <w:rPr>
          <w:rFonts w:ascii="Microsoft Sans Serif" w:hAnsi="Microsoft Sans Serif" w:cs="Microsoft Sans Serif"/>
          <w:sz w:val="20"/>
          <w:szCs w:val="20"/>
          <w:lang w:val="sr-Cyrl-RS"/>
        </w:rPr>
        <w:t xml:space="preserve"> 12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48 č</w:t>
      </w:r>
      <w:r>
        <w:rPr>
          <w:rFonts w:ascii="Microsoft Sans Serif" w:hAnsi="Microsoft Sans Serif" w:cs="Microsoft Sans Serif"/>
          <w:sz w:val="20"/>
          <w:szCs w:val="20"/>
        </w:rPr>
        <w:t>asova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ingestije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dobijenih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metabolizma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glukoze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acidoze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encefalopatije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cerebralnog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tubularnom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nekrozom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ukazuje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hematurija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proteinurija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razviti</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odsustvu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bubrežnih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aritmije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pankreatitisa</w:t>
      </w:r>
      <w:r>
        <w:rPr>
          <w:rFonts w:ascii="Microsoft Sans Serif" w:hAnsi="Microsoft Sans Serif" w:cs="Microsoft Sans Serif"/>
          <w:sz w:val="20"/>
          <w:szCs w:val="20"/>
          <w:lang w:val="sr-Cyrl-RS"/>
        </w:rPr>
        <w:t>.</w:t>
      </w:r>
    </w:p>
    <w:p w14:paraId="45B6D866">
      <w:pPr>
        <w:rPr>
          <w:rFonts w:ascii="Microsoft Sans Serif" w:hAnsi="Microsoft Sans Serif" w:cs="Microsoft Sans Serif"/>
          <w:sz w:val="20"/>
          <w:szCs w:val="20"/>
          <w:lang w:val="sr-Cyrl-RS"/>
        </w:rPr>
      </w:pPr>
    </w:p>
    <w:p w14:paraId="129889F7">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Lije</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enje</w:t>
      </w:r>
      <w:r>
        <w:rPr>
          <w:rFonts w:ascii="Microsoft Sans Serif" w:hAnsi="Microsoft Sans Serif" w:cs="Microsoft Sans Serif"/>
          <w:b/>
          <w:sz w:val="20"/>
          <w:szCs w:val="20"/>
          <w:lang w:val="sr-Cyrl-RS"/>
        </w:rPr>
        <w:t xml:space="preserve"> predoziranja</w:t>
      </w:r>
    </w:p>
    <w:p w14:paraId="00F17218">
      <w:pPr>
        <w:rPr>
          <w:rFonts w:ascii="Microsoft Sans Serif" w:hAnsi="Microsoft Sans Serif" w:cs="Microsoft Sans Serif"/>
          <w:sz w:val="20"/>
          <w:szCs w:val="20"/>
          <w:lang w:val="sr-Cyrl-RS"/>
        </w:rPr>
      </w:pPr>
      <w:r>
        <w:rPr>
          <w:rFonts w:ascii="Microsoft Sans Serif" w:hAnsi="Microsoft Sans Serif" w:cs="Microsoft Sans Serif"/>
          <w:sz w:val="20"/>
          <w:szCs w:val="20"/>
        </w:rPr>
        <w:t>Trenutn</w:t>
      </w:r>
      <w:r>
        <w:rPr>
          <w:rFonts w:ascii="Microsoft Sans Serif" w:hAnsi="Microsoft Sans Serif" w:cs="Microsoft Sans Serif"/>
          <w:sz w:val="20"/>
          <w:szCs w:val="20"/>
          <w:lang w:val="sr-Cyrl-RS"/>
        </w:rPr>
        <w:t xml:space="preserve">o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w:t>
      </w:r>
      <w:r>
        <w:rPr>
          <w:rFonts w:ascii="Microsoft Sans Serif" w:hAnsi="Microsoft Sans Serif" w:cs="Microsoft Sans Serif"/>
          <w:sz w:val="20"/>
          <w:szCs w:val="20"/>
          <w:lang w:val="sr-Cyrl-RS"/>
        </w:rPr>
        <w:t xml:space="preserve">e je od suštinskog značaja upravlјanja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Uprkos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bolnicu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hitn</w:t>
      </w:r>
      <w:r>
        <w:rPr>
          <w:rFonts w:ascii="Microsoft Sans Serif" w:hAnsi="Microsoft Sans Serif" w:cs="Microsoft Sans Serif"/>
          <w:sz w:val="20"/>
          <w:szCs w:val="20"/>
          <w:lang w:val="sr-Cyrl-RS"/>
        </w:rPr>
        <w:t xml:space="preserve">e medicinske pažnje.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organa</w:t>
      </w:r>
      <w:r>
        <w:rPr>
          <w:rFonts w:ascii="Microsoft Sans Serif" w:hAnsi="Microsoft Sans Serif" w:cs="Microsoft Sans Serif"/>
          <w:sz w:val="20"/>
          <w:szCs w:val="20"/>
          <w:lang w:val="sr-Cyrl-RS"/>
        </w:rPr>
        <w:t>.</w:t>
      </w:r>
    </w:p>
    <w:p w14:paraId="49B2C062">
      <w:pPr>
        <w:rPr>
          <w:rFonts w:ascii="Microsoft Sans Serif" w:hAnsi="Microsoft Sans Serif" w:cs="Microsoft Sans Serif"/>
          <w:sz w:val="20"/>
          <w:szCs w:val="20"/>
          <w:lang w:val="sr-Cyrl-RS"/>
        </w:rPr>
      </w:pP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smjernicama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w:t>
      </w:r>
    </w:p>
    <w:p w14:paraId="698B5C3F">
      <w:pPr>
        <w:rPr>
          <w:rFonts w:ascii="Microsoft Sans Serif" w:hAnsi="Microsoft Sans Serif" w:cs="Microsoft Sans Serif"/>
          <w:sz w:val="20"/>
          <w:szCs w:val="20"/>
          <w:lang w:val="sr-Cyrl-RS"/>
        </w:rPr>
      </w:pPr>
      <w:r>
        <w:rPr>
          <w:rFonts w:ascii="Microsoft Sans Serif" w:hAnsi="Microsoft Sans Serif" w:cs="Microsoft Sans Serif"/>
          <w:sz w:val="20"/>
          <w:szCs w:val="20"/>
          <w:lang w:val="hr-BA"/>
        </w:rPr>
        <w:t>Ako se predoziranje dogodilo unutar sat vremena, t</w:t>
      </w:r>
      <w:r>
        <w:rPr>
          <w:rFonts w:ascii="Microsoft Sans Serif" w:hAnsi="Microsoft Sans Serif" w:cs="Microsoft Sans Serif"/>
          <w:sz w:val="20"/>
          <w:szCs w:val="20"/>
          <w:lang w:val="sr-Cyrl-RS"/>
        </w:rPr>
        <w:t xml:space="preserve">reba razmotriti </w:t>
      </w:r>
      <w:r>
        <w:rPr>
          <w:rFonts w:ascii="Microsoft Sans Serif" w:hAnsi="Microsoft Sans Serif" w:cs="Microsoft Sans Serif"/>
          <w:sz w:val="20"/>
          <w:szCs w:val="20"/>
          <w:lang w:val="sv-SE"/>
        </w:rPr>
        <w:t>terapiju aktivnim ugl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BA"/>
        </w:rPr>
        <w:t>Određivanje k</w:t>
      </w:r>
      <w:r>
        <w:rPr>
          <w:rFonts w:ascii="Microsoft Sans Serif" w:hAnsi="Microsoft Sans Serif" w:cs="Microsoft Sans Serif"/>
          <w:sz w:val="20"/>
          <w:szCs w:val="20"/>
        </w:rPr>
        <w:t>oncetracije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izmjerene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nepouzdane</w:t>
      </w:r>
      <w:r>
        <w:rPr>
          <w:rFonts w:ascii="Microsoft Sans Serif" w:hAnsi="Microsoft Sans Serif" w:cs="Microsoft Sans Serif"/>
          <w:sz w:val="20"/>
          <w:szCs w:val="20"/>
          <w:lang w:val="sr-Cyrl-RS"/>
        </w:rPr>
        <w:t>).</w:t>
      </w:r>
    </w:p>
    <w:p w14:paraId="225ED0BA">
      <w:pPr>
        <w:rPr>
          <w:rFonts w:ascii="Microsoft Sans Serif" w:hAnsi="Microsoft Sans Serif" w:cs="Microsoft Sans Serif"/>
          <w:sz w:val="20"/>
          <w:szCs w:val="20"/>
          <w:lang w:val="sr-Cyrl-RS"/>
        </w:rPr>
      </w:pP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acetilcisteinom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24 č</w:t>
      </w:r>
      <w:r>
        <w:rPr>
          <w:rFonts w:ascii="Microsoft Sans Serif" w:hAnsi="Microsoft Sans Serif" w:cs="Microsoft Sans Serif"/>
          <w:sz w:val="20"/>
          <w:szCs w:val="20"/>
        </w:rPr>
        <w:t>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8 č</w:t>
      </w:r>
      <w:r>
        <w:rPr>
          <w:rFonts w:ascii="Microsoft Sans Serif" w:hAnsi="Microsoft Sans Serif" w:cs="Microsoft Sans Serif"/>
          <w:sz w:val="20"/>
          <w:szCs w:val="20"/>
        </w:rPr>
        <w:t>asova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Efektivnost</w:t>
      </w:r>
      <w:r>
        <w:rPr>
          <w:rFonts w:ascii="Microsoft Sans Serif" w:hAnsi="Microsoft Sans Serif" w:cs="Microsoft Sans Serif"/>
          <w:sz w:val="20"/>
          <w:szCs w:val="20"/>
          <w:lang w:val="sr-Cyrl-RS"/>
        </w:rPr>
        <w:t xml:space="preserve"> antidota </w:t>
      </w:r>
      <w:r>
        <w:rPr>
          <w:rFonts w:ascii="Microsoft Sans Serif" w:hAnsi="Microsoft Sans Serif" w:cs="Microsoft Sans Serif"/>
          <w:sz w:val="20"/>
          <w:szCs w:val="20"/>
        </w:rPr>
        <w:t>naglo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w:t>
      </w:r>
    </w:p>
    <w:p w14:paraId="2A7A425E">
      <w:pPr>
        <w:rPr>
          <w:rFonts w:ascii="Microsoft Sans Serif" w:hAnsi="Microsoft Sans Serif" w:cs="Microsoft Sans Serif"/>
          <w:sz w:val="20"/>
          <w:szCs w:val="20"/>
          <w:lang w:val="sr-Cyrl-R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acetilcistein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primijeniti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rasporedom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bolnice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metionina</w:t>
      </w:r>
      <w:r>
        <w:rPr>
          <w:rFonts w:ascii="Microsoft Sans Serif" w:hAnsi="Microsoft Sans Serif" w:cs="Microsoft Sans Serif"/>
          <w:sz w:val="20"/>
          <w:szCs w:val="20"/>
          <w:lang w:val="sr-Cyrl-RS"/>
        </w:rPr>
        <w:t xml:space="preserve">. </w:t>
      </w:r>
    </w:p>
    <w:p w14:paraId="2F50DEF9">
      <w:pPr>
        <w:rPr>
          <w:rFonts w:ascii="Microsoft Sans Serif" w:hAnsi="Microsoft Sans Serif" w:cs="Microsoft Sans Serif"/>
          <w:sz w:val="20"/>
          <w:szCs w:val="20"/>
          <w:lang w:val="sr-Cyrl-RS"/>
        </w:rPr>
      </w:pP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nom</w:t>
      </w:r>
      <w:r>
        <w:rPr>
          <w:rFonts w:ascii="Microsoft Sans Serif" w:hAnsi="Microsoft Sans Serif" w:cs="Microsoft Sans Serif"/>
          <w:sz w:val="20"/>
          <w:szCs w:val="20"/>
          <w:lang w:val="sr-Cyrl-RS"/>
        </w:rPr>
        <w:t xml:space="preserve"> bubrežnom </w:t>
      </w:r>
      <w:r>
        <w:rPr>
          <w:rFonts w:ascii="Microsoft Sans Serif" w:hAnsi="Microsoft Sans Serif" w:cs="Microsoft Sans Serif"/>
          <w:sz w:val="20"/>
          <w:szCs w:val="20"/>
        </w:rPr>
        <w:t>disfunkcijom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24 č</w:t>
      </w:r>
      <w:r>
        <w:rPr>
          <w:rFonts w:ascii="Microsoft Sans Serif" w:hAnsi="Microsoft Sans Serif" w:cs="Microsoft Sans Serif"/>
          <w:sz w:val="20"/>
          <w:szCs w:val="20"/>
        </w:rPr>
        <w:t>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smjernicama</w:t>
      </w:r>
      <w:r>
        <w:rPr>
          <w:rFonts w:ascii="Microsoft Sans Serif" w:hAnsi="Microsoft Sans Serif" w:cs="Microsoft Sans Serif"/>
          <w:sz w:val="20"/>
          <w:szCs w:val="20"/>
          <w:lang w:val="sr-Cyrl-RS"/>
        </w:rPr>
        <w:t>.</w:t>
      </w:r>
    </w:p>
    <w:p w14:paraId="4C86D398">
      <w:pPr>
        <w:rPr>
          <w:rFonts w:ascii="Microsoft Sans Serif" w:hAnsi="Microsoft Sans Serif" w:cs="Microsoft Sans Serif"/>
          <w:sz w:val="20"/>
          <w:szCs w:val="20"/>
          <w:lang w:val="sr-Cyrl-RS"/>
        </w:rPr>
      </w:pPr>
    </w:p>
    <w:p w14:paraId="6B703F97">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Ibuprofen</w:t>
      </w:r>
    </w:p>
    <w:p w14:paraId="4C4467B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Simptomi predoziranja</w:t>
      </w:r>
    </w:p>
    <w:p w14:paraId="774C761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Većina pacijenata koji su uzeli klinički značajne količine NSAIL neće imati teže reakcije od mučnine, povraćanja, epigastričnog bola ili,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 dijarejе. Takođe se mogu javit</w:t>
      </w:r>
      <w:r>
        <w:rPr>
          <w:rFonts w:ascii="Microsoft Sans Serif" w:hAnsi="Microsoft Sans Serif" w:cs="Microsoft Sans Serif"/>
          <w:sz w:val="20"/>
          <w:szCs w:val="20"/>
          <w:lang w:val="mk-MK"/>
        </w:rPr>
        <w:t>i i</w:t>
      </w:r>
      <w:r>
        <w:rPr>
          <w:rFonts w:ascii="Microsoft Sans Serif" w:hAnsi="Microsoft Sans Serif" w:cs="Microsoft Sans Serif"/>
          <w:sz w:val="20"/>
          <w:szCs w:val="20"/>
          <w:lang w:val="sr-Cyrl-RS"/>
        </w:rPr>
        <w:t xml:space="preserve"> tinitus, glavobolјa i gastrointestinalno krvarenje. Kod ozbilјnijih trovanja, toksičnost se ogleda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elovanjem na centralni nervni sistem, manifestujući se kao pospanost, povremeno uzbuđenje</w:t>
      </w:r>
      <w:r>
        <w:rPr>
          <w:rFonts w:ascii="Microsoft Sans Serif" w:hAnsi="Microsoft Sans Serif" w:cs="Microsoft Sans Serif"/>
          <w:sz w:val="20"/>
          <w:szCs w:val="20"/>
          <w:lang w:val="hr-BA"/>
        </w:rPr>
        <w:t xml:space="preserve"> i </w:t>
      </w:r>
      <w:r>
        <w:rPr>
          <w:rFonts w:ascii="Microsoft Sans Serif" w:hAnsi="Microsoft Sans Serif" w:cs="Microsoft Sans Serif"/>
          <w:sz w:val="20"/>
          <w:szCs w:val="20"/>
          <w:lang w:val="sr-Cyrl-RS"/>
        </w:rPr>
        <w:t xml:space="preserve">dezorijentacija ili koma. Povremeno </w:t>
      </w:r>
      <w:r>
        <w:rPr>
          <w:rFonts w:ascii="Microsoft Sans Serif" w:hAnsi="Microsoft Sans Serif" w:cs="Microsoft Sans Serif"/>
          <w:sz w:val="20"/>
          <w:szCs w:val="20"/>
          <w:lang w:val="hr-BA"/>
        </w:rPr>
        <w:t>može doći do razvoja</w:t>
      </w:r>
      <w:r>
        <w:rPr>
          <w:rFonts w:ascii="Microsoft Sans Serif" w:hAnsi="Microsoft Sans Serif" w:cs="Microsoft Sans Serif"/>
          <w:sz w:val="20"/>
          <w:szCs w:val="20"/>
          <w:lang w:val="sr-Cyrl-RS"/>
        </w:rPr>
        <w:t xml:space="preserve"> konvulzije. Kod ozbilјnih trovanja može doći do metaboličke acidoze, a protrombinsko vreme/</w:t>
      </w:r>
      <w:r>
        <w:rPr>
          <w:rFonts w:ascii="Microsoft Sans Serif" w:hAnsi="Microsoft Sans Serif" w:cs="Microsoft Sans Serif"/>
          <w:sz w:val="20"/>
          <w:szCs w:val="20"/>
          <w:lang w:val="sr-Latn-RS"/>
        </w:rPr>
        <w:t>INR</w:t>
      </w:r>
      <w:r>
        <w:rPr>
          <w:rFonts w:ascii="Microsoft Sans Serif" w:hAnsi="Microsoft Sans Serif" w:cs="Microsoft Sans Serif"/>
          <w:sz w:val="20"/>
          <w:szCs w:val="20"/>
          <w:lang w:val="sr-Cyrl-RS"/>
        </w:rPr>
        <w:t xml:space="preserve"> može biti produženo, najverovatnije zbog interferencije sa dejstvom cirkulišućih faktora koagulacije.</w:t>
      </w:r>
    </w:p>
    <w:p w14:paraId="4B5AD4DA">
      <w:pPr>
        <w:rPr>
          <w:rFonts w:ascii="Microsoft Sans Serif" w:hAnsi="Microsoft Sans Serif" w:cs="Microsoft Sans Serif"/>
          <w:sz w:val="20"/>
          <w:szCs w:val="20"/>
          <w:lang w:val="sr-Cyrl-RS"/>
        </w:rPr>
      </w:pPr>
      <w:r>
        <w:rPr>
          <w:rFonts w:ascii="Microsoft Sans Serif" w:hAnsi="Microsoft Sans Serif" w:cs="Microsoft Sans Serif"/>
          <w:sz w:val="20"/>
          <w:szCs w:val="20"/>
          <w:lang w:val="hr-BA"/>
        </w:rPr>
        <w:t>Kod dehidriranih pacijenata može doći do a</w:t>
      </w:r>
      <w:r>
        <w:rPr>
          <w:rFonts w:ascii="Microsoft Sans Serif" w:hAnsi="Microsoft Sans Serif" w:cs="Microsoft Sans Serif"/>
          <w:sz w:val="20"/>
          <w:szCs w:val="20"/>
          <w:lang w:val="sr-Cyrl-RS"/>
        </w:rPr>
        <w:t>kutn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bubrežn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insuficijencij</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i oštećenj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jetre. </w:t>
      </w:r>
      <w:r>
        <w:rPr>
          <w:rFonts w:ascii="Microsoft Sans Serif" w:hAnsi="Microsoft Sans Serif" w:cs="Microsoft Sans Serif"/>
          <w:sz w:val="20"/>
          <w:szCs w:val="20"/>
          <w:lang w:val="hr-BA"/>
        </w:rPr>
        <w:t>Kod astmatičara, moguće je p</w:t>
      </w:r>
      <w:r>
        <w:rPr>
          <w:rFonts w:ascii="Microsoft Sans Serif" w:hAnsi="Microsoft Sans Serif" w:cs="Microsoft Sans Serif"/>
          <w:sz w:val="20"/>
          <w:szCs w:val="20"/>
          <w:lang w:val="sr-Cyrl-RS"/>
        </w:rPr>
        <w:t>ogoršanje astme.</w:t>
      </w:r>
    </w:p>
    <w:p w14:paraId="76A48523">
      <w:pPr>
        <w:rPr>
          <w:rFonts w:ascii="Microsoft Sans Serif" w:hAnsi="Microsoft Sans Serif" w:cs="Microsoft Sans Serif"/>
          <w:color w:val="FF0000"/>
          <w:sz w:val="20"/>
          <w:szCs w:val="20"/>
          <w:lang w:val="sr-Cyrl-RS"/>
        </w:rPr>
      </w:pPr>
    </w:p>
    <w:p w14:paraId="209476AB">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ečenje</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lang w:val="sr-Cyrl-RS"/>
        </w:rPr>
        <w:t>predoziranja</w:t>
      </w:r>
    </w:p>
    <w:p w14:paraId="7A9947C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ečenje treba da bude simptomatsko i suportivno i treba da uklјuči održavanje prohodnosti disajnih puteva, praćenje srčanog rada i vitalnih znakova dok stanje pacijenta ne postane stabilno. Potrebno je razmisliti o oralnoj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 aktivnog uglјa ukoliko se pacijent obrati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ekaru u roku od 1 sata od gutanja potencijalno toksične količine. U slučaju čestih ili produženih konvulzija, treba 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 terapija intravenskim diazepamom ili lorazepamom.</w:t>
      </w:r>
    </w:p>
    <w:p w14:paraId="656365F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 slučaju astme dati bronhodilatatore.</w:t>
      </w:r>
    </w:p>
    <w:p w14:paraId="314BE2CA">
      <w:pPr>
        <w:rPr>
          <w:rFonts w:ascii="Microsoft Sans Serif" w:hAnsi="Microsoft Sans Serif" w:cs="Microsoft Sans Serif"/>
          <w:b/>
          <w:sz w:val="20"/>
          <w:szCs w:val="20"/>
          <w:lang w:val="sv-SE"/>
        </w:rPr>
      </w:pPr>
    </w:p>
    <w:p w14:paraId="47483759">
      <w:pPr>
        <w:rPr>
          <w:rFonts w:ascii="Microsoft Sans Serif" w:hAnsi="Microsoft Sans Serif" w:cs="Microsoft Sans Serif"/>
          <w:sz w:val="20"/>
          <w:szCs w:val="20"/>
          <w:lang w:val="mk-MK"/>
        </w:rPr>
      </w:pPr>
    </w:p>
    <w:p w14:paraId="3880349D">
      <w:p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5. FARMAKOLOŠKI PODACI</w:t>
      </w:r>
    </w:p>
    <w:p w14:paraId="296F385D">
      <w:pPr>
        <w:rPr>
          <w:rFonts w:ascii="Microsoft Sans Serif" w:hAnsi="Microsoft Sans Serif" w:cs="Microsoft Sans Serif"/>
          <w:b/>
          <w:bCs/>
          <w:sz w:val="20"/>
          <w:szCs w:val="20"/>
          <w:lang w:val="mk-MK"/>
        </w:rPr>
      </w:pPr>
    </w:p>
    <w:p w14:paraId="2AD20CA5">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mk-MK"/>
        </w:rPr>
        <w:t>5.1. Farmakodinamičke karakteristike</w:t>
      </w:r>
    </w:p>
    <w:p w14:paraId="573BED02">
      <w:pPr>
        <w:rPr>
          <w:rFonts w:ascii="Microsoft Sans Serif" w:hAnsi="Microsoft Sans Serif" w:cs="Microsoft Sans Serif"/>
          <w:b/>
          <w:bCs/>
          <w:sz w:val="20"/>
          <w:szCs w:val="20"/>
          <w:lang w:val="mk-MK"/>
        </w:rPr>
      </w:pPr>
    </w:p>
    <w:p w14:paraId="3100421D">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mk-MK"/>
        </w:rPr>
        <w:t xml:space="preserve">Farmakoterapijska grupa: </w:t>
      </w:r>
      <w:r>
        <w:rPr>
          <w:rFonts w:ascii="Microsoft Sans Serif" w:hAnsi="Microsoft Sans Serif" w:cs="Microsoft Sans Serif"/>
          <w:bCs/>
          <w:sz w:val="20"/>
          <w:szCs w:val="20"/>
          <w:lang w:val="sr-Cyrl-RS"/>
        </w:rPr>
        <w:t>Paracetamol, kombinacije koje isklјučuju psiholeptike</w:t>
      </w:r>
    </w:p>
    <w:p w14:paraId="71F52AF3">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ATC šifra: N02BE51</w:t>
      </w:r>
    </w:p>
    <w:p w14:paraId="657D9301">
      <w:pPr>
        <w:rPr>
          <w:rFonts w:ascii="Microsoft Sans Serif" w:hAnsi="Microsoft Sans Serif" w:cs="Microsoft Sans Serif"/>
          <w:sz w:val="20"/>
          <w:szCs w:val="20"/>
          <w:lang w:val="mk-MK"/>
        </w:rPr>
      </w:pPr>
    </w:p>
    <w:p w14:paraId="6F1B057E">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Farmakološko dejstvo ibuprofena i paracetamola se razlikuje prema mjestu i načinu djelovanja. Ovi komplementarni načini djelovanja su tak</w:t>
      </w:r>
      <w:r>
        <w:rPr>
          <w:rFonts w:ascii="Microsoft Sans Serif" w:hAnsi="Microsoft Sans Serif" w:cs="Microsoft Sans Serif"/>
          <w:sz w:val="20"/>
          <w:szCs w:val="20"/>
          <w:lang w:val="sr-Cyrl-RS"/>
        </w:rPr>
        <w:t xml:space="preserve">ođe </w:t>
      </w:r>
      <w:r>
        <w:rPr>
          <w:rFonts w:ascii="Microsoft Sans Serif" w:hAnsi="Microsoft Sans Serif" w:cs="Microsoft Sans Serif"/>
          <w:sz w:val="20"/>
          <w:szCs w:val="20"/>
          <w:lang w:val="mk-MK"/>
        </w:rPr>
        <w:t>sinergistički što dovodi do većeg antinociceptivnog i antipiretičkog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djelovanja, nego što je dejstvo pojedinačnih lijekova.</w:t>
      </w:r>
    </w:p>
    <w:p w14:paraId="7AAE96F3">
      <w:pPr>
        <w:rPr>
          <w:rFonts w:ascii="Microsoft Sans Serif" w:hAnsi="Microsoft Sans Serif" w:cs="Microsoft Sans Serif"/>
          <w:sz w:val="20"/>
          <w:szCs w:val="20"/>
          <w:lang w:val="mk-MK"/>
        </w:rPr>
      </w:pPr>
    </w:p>
    <w:p w14:paraId="16E1E2F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Ibuprofen je lijek iz grupe NSAIL čija je učinkovitost inhibicije sinteze prostaglandine potvrđena na modelima sa životinjama koje 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inflamaciju. Prostangladinini čine nociceptivne aferentne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nervne završetke osjetlјivim na medijatore kao što je bradikinin. Ibuprofen dovodi do analgetskog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efekta tako što dolazi do periferne inhibicije cikloksigenaza-2 (</w:t>
      </w:r>
      <w:r>
        <w:rPr>
          <w:rFonts w:ascii="Microsoft Sans Serif" w:hAnsi="Microsoft Sans Serif" w:cs="Microsoft Sans Serif"/>
          <w:sz w:val="20"/>
          <w:szCs w:val="20"/>
          <w:lang w:val="sr-Latn-RS"/>
        </w:rPr>
        <w:t>COX</w:t>
      </w:r>
      <w:r>
        <w:rPr>
          <w:rFonts w:ascii="Microsoft Sans Serif" w:hAnsi="Microsoft Sans Serif" w:cs="Microsoft Sans Serif"/>
          <w:sz w:val="20"/>
          <w:szCs w:val="20"/>
          <w:lang w:val="mk-MK"/>
        </w:rPr>
        <w:t>-2) izoenzima sa posljedičnim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smanjenjem senzibilizacije nociceptivnih nervnih završetaka. Takođe je pokazano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ibuprofen inhibira migraciju indukovanih leukocita na mjesta inflamacije. Ibuprofen ima značajan učinak na kičmenu moždinu, djelimično zbog</w:t>
      </w:r>
      <w:r>
        <w:rPr>
          <w:rFonts w:ascii="Microsoft Sans Serif" w:hAnsi="Microsoft Sans Serif" w:cs="Microsoft Sans Serif"/>
          <w:sz w:val="20"/>
          <w:szCs w:val="20"/>
          <w:lang w:val="sr-Cyrl-RS"/>
        </w:rPr>
        <w:t xml:space="preserve"> sposobnosti</w:t>
      </w:r>
      <w:r>
        <w:rPr>
          <w:rFonts w:ascii="Microsoft Sans Serif" w:hAnsi="Microsoft Sans Serif" w:cs="Microsoft Sans Serif"/>
          <w:sz w:val="20"/>
          <w:szCs w:val="20"/>
          <w:lang w:val="mk-MK"/>
        </w:rPr>
        <w:t xml:space="preserve"> inhibicije </w:t>
      </w:r>
      <w:r>
        <w:rPr>
          <w:rFonts w:ascii="Microsoft Sans Serif" w:hAnsi="Microsoft Sans Serif" w:cs="Microsoft Sans Serif"/>
          <w:sz w:val="20"/>
          <w:szCs w:val="20"/>
          <w:lang w:val="sr-Cyrl-RS"/>
        </w:rPr>
        <w:t xml:space="preserve">aktivnosti </w:t>
      </w:r>
      <w:r>
        <w:rPr>
          <w:rFonts w:ascii="Microsoft Sans Serif" w:hAnsi="Microsoft Sans Serif" w:cs="Microsoft Sans Serif"/>
          <w:sz w:val="20"/>
          <w:szCs w:val="20"/>
          <w:lang w:val="mk-MK"/>
        </w:rPr>
        <w:t>COX. Antipiretičko dejstvo ibuprofena je posljedica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centralne inhibicije</w:t>
      </w:r>
      <w:r>
        <w:rPr>
          <w:rFonts w:ascii="Microsoft Sans Serif" w:hAnsi="Microsoft Sans Serif" w:cs="Microsoft Sans Serif"/>
          <w:sz w:val="20"/>
          <w:szCs w:val="20"/>
          <w:lang w:val="sr-Cyrl-RS"/>
        </w:rPr>
        <w:t xml:space="preserve"> sinteze</w:t>
      </w:r>
      <w:r>
        <w:rPr>
          <w:rFonts w:ascii="Microsoft Sans Serif" w:hAnsi="Microsoft Sans Serif" w:cs="Microsoft Sans Serif"/>
          <w:sz w:val="20"/>
          <w:szCs w:val="20"/>
          <w:lang w:val="mk-MK"/>
        </w:rPr>
        <w:t xml:space="preserve"> prostaglandina u hipotalamusu. Ibuprofen reverzibilno inhibira agregaciju trombocita. Kod lјudi, ibuprofen smanjuje bol urokovan inflamacijom, oto</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mk-MK"/>
        </w:rPr>
        <w:t xml:space="preserve"> i povišenu tjelesnu temperaturu.</w:t>
      </w:r>
    </w:p>
    <w:p w14:paraId="4D1D5538">
      <w:pPr>
        <w:rPr>
          <w:rFonts w:ascii="Microsoft Sans Serif" w:hAnsi="Microsoft Sans Serif" w:cs="Microsoft Sans Serif"/>
          <w:sz w:val="20"/>
          <w:szCs w:val="20"/>
          <w:lang w:val="mk-MK"/>
        </w:rPr>
      </w:pPr>
    </w:p>
    <w:p w14:paraId="72CBD1F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Eksperimentalni podaci ukazuju na to da ibuprofen može</w:t>
      </w:r>
      <w:r>
        <w:rPr>
          <w:rFonts w:ascii="Microsoft Sans Serif" w:hAnsi="Microsoft Sans Serif" w:cs="Microsoft Sans Serif"/>
          <w:sz w:val="20"/>
          <w:szCs w:val="20"/>
          <w:lang w:val="sr-Cyrl-RS"/>
        </w:rPr>
        <w:t xml:space="preserve"> kompetitivno</w:t>
      </w:r>
      <w:r>
        <w:rPr>
          <w:rFonts w:ascii="Microsoft Sans Serif" w:hAnsi="Microsoft Sans Serif" w:cs="Microsoft Sans Serif"/>
          <w:sz w:val="20"/>
          <w:szCs w:val="20"/>
          <w:lang w:val="mk-MK"/>
        </w:rPr>
        <w:t xml:space="preserve"> inhibirati efekat </w:t>
      </w:r>
      <w:r>
        <w:rPr>
          <w:rFonts w:ascii="Microsoft Sans Serif" w:hAnsi="Microsoft Sans Serif" w:cs="Microsoft Sans Serif"/>
          <w:sz w:val="20"/>
          <w:szCs w:val="20"/>
          <w:lang w:val="sr-Cyrl-RS"/>
        </w:rPr>
        <w:t>niskih</w:t>
      </w:r>
      <w:r>
        <w:rPr>
          <w:rFonts w:ascii="Microsoft Sans Serif" w:hAnsi="Microsoft Sans Serif" w:cs="Microsoft Sans Serif"/>
          <w:sz w:val="20"/>
          <w:szCs w:val="20"/>
          <w:lang w:val="mk-MK"/>
        </w:rPr>
        <w:t xml:space="preserve"> doza acetilsalicilne kiseline na agregaciju trombocita kada se istovremeno doziraju. </w:t>
      </w:r>
      <w:r>
        <w:rPr>
          <w:rFonts w:ascii="Microsoft Sans Serif" w:hAnsi="Microsoft Sans Serif" w:cs="Microsoft Sans Serif"/>
          <w:sz w:val="20"/>
          <w:szCs w:val="20"/>
          <w:lang w:val="sr-Cyrl-RS"/>
        </w:rPr>
        <w:t>Neke farmakodinamske studije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su po</w:t>
      </w:r>
      <w:r>
        <w:rPr>
          <w:rFonts w:ascii="Microsoft Sans Serif" w:hAnsi="Microsoft Sans Serif" w:cs="Microsoft Sans Serif"/>
          <w:sz w:val="20"/>
          <w:szCs w:val="20"/>
          <w:lang w:val="sr-Latn-RS"/>
        </w:rPr>
        <w:t>k</w:t>
      </w:r>
      <w:r>
        <w:rPr>
          <w:rFonts w:ascii="Microsoft Sans Serif" w:hAnsi="Microsoft Sans Serif" w:cs="Microsoft Sans Serif"/>
          <w:sz w:val="20"/>
          <w:szCs w:val="20"/>
          <w:lang w:val="sr-Cyrl-RS"/>
        </w:rPr>
        <w:t>azale da je</w:t>
      </w:r>
      <w:r>
        <w:rPr>
          <w:rFonts w:ascii="Microsoft Sans Serif" w:hAnsi="Microsoft Sans Serif" w:cs="Microsoft Sans Serif"/>
          <w:sz w:val="20"/>
          <w:szCs w:val="20"/>
          <w:lang w:val="mk-MK"/>
        </w:rPr>
        <w:t xml:space="preserve"> došlo do smanjenja efekta acetilsalicilne kiseline na stvaranje tromboksana ili agregaciju trombocita kada je jednokratna doza od 400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mk-MK"/>
        </w:rPr>
        <w:t xml:space="preserve"> ibuprofena uzeta u roku od 8 sati prije ili u roku od 30 minuta nakon uzimanja tableta acetilsalicilne kiseline sa trenutnim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oslobađanjem (81 mg). Iako postoje neizvjesnosti u pogledu ekstrapolacije ovih podataka u kliničku situaciju, ne može se isklјučiti mogućnost da redovna, dugotrajna upotreba ibuprofena može smanjiti kardioprotektivni efekat niske doze acetilsalicilne kiseline. Smatra se da pri povremenoj primjeni ibuprofena klinički relevantno dejstvo nije vjerovatno (pogledati dio 4.5).</w:t>
      </w:r>
    </w:p>
    <w:p w14:paraId="1044286A">
      <w:pPr>
        <w:rPr>
          <w:rFonts w:ascii="Microsoft Sans Serif" w:hAnsi="Microsoft Sans Serif" w:cs="Microsoft Sans Serif"/>
          <w:sz w:val="20"/>
          <w:szCs w:val="20"/>
          <w:lang w:val="mk-MK"/>
        </w:rPr>
      </w:pPr>
    </w:p>
    <w:p w14:paraId="21CF18E4">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Tačan mehanizam djelovanja paracetamola još uvijek nije u potpunosti definisan, ali postoje značajni dokazi koji podržavaju hipotezu centralnog antinociceptivnog efekta. </w:t>
      </w:r>
      <w:r>
        <w:rPr>
          <w:rFonts w:ascii="Microsoft Sans Serif" w:hAnsi="Microsoft Sans Serif" w:cs="Microsoft Sans Serif"/>
          <w:sz w:val="20"/>
          <w:szCs w:val="20"/>
          <w:lang w:val="sr-Cyrl-RS"/>
        </w:rPr>
        <w:t>Rezultati različitih biohemi</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skih testova </w:t>
      </w:r>
      <w:r>
        <w:rPr>
          <w:rFonts w:ascii="Microsoft Sans Serif" w:hAnsi="Microsoft Sans Serif" w:cs="Microsoft Sans Serif"/>
          <w:sz w:val="20"/>
          <w:szCs w:val="20"/>
          <w:lang w:val="mk-MK"/>
        </w:rPr>
        <w:t xml:space="preserve"> ukazuju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inhibiciju centralne COX-2</w:t>
      </w:r>
      <w:r>
        <w:rPr>
          <w:rFonts w:ascii="Microsoft Sans Serif" w:hAnsi="Microsoft Sans Serif" w:cs="Microsoft Sans Serif"/>
          <w:sz w:val="20"/>
          <w:szCs w:val="20"/>
          <w:lang w:val="sr-Cyrl-RS"/>
        </w:rPr>
        <w:t xml:space="preserve"> enzimske</w:t>
      </w:r>
      <w:r>
        <w:rPr>
          <w:rFonts w:ascii="Microsoft Sans Serif" w:hAnsi="Microsoft Sans Serif" w:cs="Microsoft Sans Serif"/>
          <w:sz w:val="20"/>
          <w:szCs w:val="20"/>
          <w:lang w:val="mk-MK"/>
        </w:rPr>
        <w:t xml:space="preserve"> aktivnosti. Paracetamol</w:t>
      </w:r>
      <w:r>
        <w:rPr>
          <w:rFonts w:ascii="Microsoft Sans Serif" w:hAnsi="Microsoft Sans Serif" w:cs="Microsoft Sans Serif"/>
          <w:sz w:val="20"/>
          <w:szCs w:val="20"/>
          <w:lang w:val="sr-Cyrl-RS"/>
        </w:rPr>
        <w:t xml:space="preserve"> tako</w:t>
      </w:r>
      <w:r>
        <w:rPr>
          <w:rFonts w:ascii="Microsoft Sans Serif" w:hAnsi="Microsoft Sans Serif" w:cs="Microsoft Sans Serif"/>
          <w:sz w:val="20"/>
          <w:szCs w:val="20"/>
          <w:lang w:val="sr-Latn-RS"/>
        </w:rPr>
        <w:t>đ</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mk-MK"/>
        </w:rPr>
        <w:t xml:space="preserve"> može stimuli</w:t>
      </w:r>
      <w:r>
        <w:rPr>
          <w:rFonts w:ascii="Microsoft Sans Serif" w:hAnsi="Microsoft Sans Serif" w:cs="Microsoft Sans Serif"/>
          <w:sz w:val="20"/>
          <w:szCs w:val="20"/>
          <w:lang w:val="sr-Cyrl-RS"/>
        </w:rPr>
        <w:t>sati</w:t>
      </w:r>
      <w:r>
        <w:rPr>
          <w:rFonts w:ascii="Microsoft Sans Serif" w:hAnsi="Microsoft Sans Serif" w:cs="Microsoft Sans Serif"/>
          <w:sz w:val="20"/>
          <w:szCs w:val="20"/>
          <w:lang w:val="mk-MK"/>
        </w:rPr>
        <w:t xml:space="preserve"> aktivnost </w:t>
      </w:r>
      <w:r>
        <w:rPr>
          <w:rFonts w:ascii="Microsoft Sans Serif" w:hAnsi="Microsoft Sans Serif" w:cs="Microsoft Sans Serif"/>
          <w:sz w:val="20"/>
          <w:szCs w:val="20"/>
          <w:lang w:val="sr-Cyrl-RS"/>
        </w:rPr>
        <w:t>opadajućih</w:t>
      </w:r>
      <w:r>
        <w:rPr>
          <w:rFonts w:ascii="Microsoft Sans Serif" w:hAnsi="Microsoft Sans Serif" w:cs="Microsoft Sans Serif"/>
          <w:sz w:val="20"/>
          <w:szCs w:val="20"/>
          <w:lang w:val="mk-MK"/>
        </w:rPr>
        <w:t xml:space="preserve"> 5-hidroksitriptamin (serotonin) puteva koji inhibiraju prenos nociceptivnih signala u kičmenoj moždini. </w:t>
      </w:r>
      <w:r>
        <w:rPr>
          <w:rFonts w:ascii="Microsoft Sans Serif" w:hAnsi="Microsoft Sans Serif" w:cs="Microsoft Sans Serif"/>
          <w:sz w:val="20"/>
          <w:szCs w:val="20"/>
          <w:lang w:val="sr-Cyrl-RS"/>
        </w:rPr>
        <w:t>Studije</w:t>
      </w:r>
      <w:r>
        <w:rPr>
          <w:rFonts w:ascii="Microsoft Sans Serif" w:hAnsi="Microsoft Sans Serif" w:cs="Microsoft Sans Serif"/>
          <w:sz w:val="20"/>
          <w:szCs w:val="20"/>
          <w:lang w:val="mk-MK"/>
        </w:rPr>
        <w:t xml:space="preserve"> pokazuju da je paracetamol veoma slab inhibitor perifernih COX-1 i COX-2 izoenzima.</w:t>
      </w:r>
    </w:p>
    <w:p w14:paraId="1C3ACC32">
      <w:pPr>
        <w:rPr>
          <w:rFonts w:ascii="Microsoft Sans Serif" w:hAnsi="Microsoft Sans Serif" w:cs="Microsoft Sans Serif"/>
          <w:sz w:val="20"/>
          <w:szCs w:val="20"/>
          <w:lang w:val="mk-MK"/>
        </w:rPr>
      </w:pPr>
    </w:p>
    <w:p w14:paraId="20FAA704">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Klinička efikasnost ibuprofena i paracetamola je pokazana kod bola koji je povezan sa glavobolјom, zubobolјom, dismenorejom, kao i povišenom tjelesnom temperaturom; štaviše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efikasnost je pokazana kod pacijenata sa bolom i povišenom tjelesnom temperaturom koji su u vezi sa prehladom i gripom, i bolom u grlu, bolom u mišićima ili povredama mekih tkiva i bolom u leđima.</w:t>
      </w:r>
    </w:p>
    <w:p w14:paraId="6564BC68">
      <w:pPr>
        <w:rPr>
          <w:rFonts w:ascii="Microsoft Sans Serif" w:hAnsi="Microsoft Sans Serif" w:cs="Microsoft Sans Serif"/>
          <w:sz w:val="20"/>
          <w:szCs w:val="20"/>
          <w:lang w:val="mk-MK"/>
        </w:rPr>
      </w:pPr>
    </w:p>
    <w:p w14:paraId="4AE6032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Ovaj lijek je naročito pogodan u terapiji bola koji zahtjeva jače </w:t>
      </w:r>
      <w:r>
        <w:rPr>
          <w:rFonts w:ascii="Microsoft Sans Serif" w:hAnsi="Microsoft Sans Serif" w:cs="Microsoft Sans Serif"/>
          <w:sz w:val="20"/>
          <w:szCs w:val="20"/>
          <w:lang w:val="sr-Cyrl-RS"/>
        </w:rPr>
        <w:t>olakšanje bola nego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kada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enjuju </w:t>
      </w:r>
      <w:r>
        <w:rPr>
          <w:rFonts w:ascii="Microsoft Sans Serif" w:hAnsi="Microsoft Sans Serif" w:cs="Microsoft Sans Serif"/>
          <w:sz w:val="20"/>
          <w:szCs w:val="20"/>
          <w:lang w:val="mk-MK"/>
        </w:rPr>
        <w:t>zasebno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ibuprofen od 400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mk-MK"/>
        </w:rPr>
        <w:t xml:space="preserve"> ili paracetamol od 1000 mg </w:t>
      </w:r>
      <w:r>
        <w:rPr>
          <w:rFonts w:ascii="Microsoft Sans Serif" w:hAnsi="Microsoft Sans Serif" w:cs="Microsoft Sans Serif"/>
          <w:sz w:val="20"/>
          <w:szCs w:val="20"/>
          <w:lang w:val="sr-Cyrl-RS"/>
        </w:rPr>
        <w:t xml:space="preserve">ili kao analgetik da bi olakšao bol brže </w:t>
      </w:r>
      <w:r>
        <w:rPr>
          <w:rFonts w:ascii="Microsoft Sans Serif" w:hAnsi="Microsoft Sans Serif" w:cs="Microsoft Sans Serif"/>
          <w:sz w:val="20"/>
          <w:szCs w:val="20"/>
          <w:lang w:val="mk-MK"/>
        </w:rPr>
        <w:t>od ibuprofena.</w:t>
      </w:r>
    </w:p>
    <w:p w14:paraId="751463BB">
      <w:pPr>
        <w:rPr>
          <w:rFonts w:ascii="Microsoft Sans Serif" w:hAnsi="Microsoft Sans Serif" w:cs="Microsoft Sans Serif"/>
          <w:sz w:val="20"/>
          <w:szCs w:val="20"/>
          <w:lang w:val="mk-MK"/>
        </w:rPr>
      </w:pPr>
    </w:p>
    <w:p w14:paraId="2A42F858">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Klinička efikasnost</w:t>
      </w:r>
    </w:p>
    <w:p w14:paraId="663E01BD">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Rezime kliničkih podataka </w:t>
      </w:r>
      <w:r>
        <w:rPr>
          <w:rFonts w:ascii="Microsoft Sans Serif" w:hAnsi="Microsoft Sans Serif" w:cs="Microsoft Sans Serif"/>
          <w:b/>
          <w:sz w:val="20"/>
          <w:szCs w:val="20"/>
          <w:lang w:val="sr-Cyrl-RS"/>
        </w:rPr>
        <w:t>nakon prim</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 xml:space="preserve">ene </w:t>
      </w:r>
      <w:r>
        <w:rPr>
          <w:rFonts w:ascii="Microsoft Sans Serif" w:hAnsi="Microsoft Sans Serif" w:cs="Microsoft Sans Serif"/>
          <w:b/>
          <w:sz w:val="20"/>
          <w:szCs w:val="20"/>
          <w:lang w:val="sv-SE"/>
        </w:rPr>
        <w:t>2 tablete</w:t>
      </w:r>
    </w:p>
    <w:p w14:paraId="73D58B3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Randomizirane, dvostruko slijepe, placebom kontrolisane studije su izvedene </w:t>
      </w:r>
      <w:r>
        <w:rPr>
          <w:rFonts w:ascii="Microsoft Sans Serif" w:hAnsi="Microsoft Sans Serif" w:cs="Microsoft Sans Serif"/>
          <w:sz w:val="20"/>
          <w:szCs w:val="20"/>
          <w:lang w:val="sr-Cyrl-RS"/>
        </w:rPr>
        <w:t xml:space="preserve">sa kombinacijom pomoću modela akutnog </w:t>
      </w:r>
      <w:r>
        <w:rPr>
          <w:rFonts w:ascii="Microsoft Sans Serif" w:hAnsi="Microsoft Sans Serif" w:cs="Microsoft Sans Serif"/>
          <w:sz w:val="20"/>
          <w:szCs w:val="20"/>
          <w:lang w:val="sv-SE"/>
        </w:rPr>
        <w:t>postoperativnog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dentalnog bola. Studije su pokazale sljedeće:</w:t>
      </w:r>
    </w:p>
    <w:p w14:paraId="624AE23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Ovaj lijek obezbjeđuje mnogo efikasnije oslobađanje od bola od paracetamola 1000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v-SE"/>
        </w:rPr>
        <w:t xml:space="preserve"> (p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&lt;0,0001) i</w:t>
      </w:r>
    </w:p>
    <w:p w14:paraId="6DD485E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ibuprofena 400 mg (p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&lt;0,05) što je klinički i statistički značajno.</w:t>
      </w:r>
    </w:p>
    <w:p w14:paraId="0D22FFA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Ovaj lijek ima brz početak djelovanja sa “potvrđenim </w:t>
      </w:r>
      <w:r>
        <w:rPr>
          <w:rFonts w:ascii="Microsoft Sans Serif" w:hAnsi="Microsoft Sans Serif" w:cs="Microsoft Sans Serif"/>
          <w:sz w:val="20"/>
          <w:szCs w:val="20"/>
          <w:lang w:val="sr-Cyrl-RS"/>
        </w:rPr>
        <w:t>analgetskim efektom</w:t>
      </w:r>
      <w:r>
        <w:rPr>
          <w:rFonts w:ascii="Microsoft Sans Serif" w:hAnsi="Microsoft Sans Serif" w:cs="Microsoft Sans Serif"/>
          <w:sz w:val="20"/>
          <w:szCs w:val="20"/>
          <w:lang w:val="sv-SE"/>
        </w:rPr>
        <w:t>” koji se postiže za oko18,3 minuta. Početak djelovanja je značajno brži od ibuprofena 400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mg (23,8 minuta, p=0,0015). “</w:t>
      </w:r>
      <w:r>
        <w:rPr>
          <w:rFonts w:ascii="Microsoft Sans Serif" w:hAnsi="Microsoft Sans Serif" w:cs="Microsoft Sans Serif"/>
          <w:sz w:val="20"/>
          <w:szCs w:val="20"/>
          <w:lang w:val="sr-Cyrl-RS"/>
        </w:rPr>
        <w:t>Jači analgetski efekt</w:t>
      </w:r>
      <w:r>
        <w:rPr>
          <w:rFonts w:ascii="Microsoft Sans Serif" w:hAnsi="Microsoft Sans Serif" w:cs="Microsoft Sans Serif"/>
          <w:sz w:val="20"/>
          <w:szCs w:val="20"/>
          <w:lang w:val="sv-SE"/>
        </w:rPr>
        <w:t>” se kod ovog lijeka postiže za oko 44,6 minuta, što je značajno brže od ibuprofena 400 mg (70,5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minuta, 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&lt;0,0001 ).</w:t>
      </w:r>
    </w:p>
    <w:p w14:paraId="12B5D39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Trajanje analgetskog efekta je značajno duže kod ovog lijeka (9,1 sat) u poređenju sa paracetamolom 500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mg (4 sata) ili 1000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mg (5 sati).</w:t>
      </w:r>
    </w:p>
    <w:p w14:paraId="6482938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Globalna ocjena studija lijekova od strane ispitanika je pokazala visok nivo zadovol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stva sa 93,2%</w:t>
      </w:r>
      <w:r>
        <w:rPr>
          <w:rFonts w:ascii="Microsoft Sans Serif" w:hAnsi="Microsoft Sans Serif" w:cs="Microsoft Sans Serif"/>
          <w:sz w:val="20"/>
          <w:szCs w:val="20"/>
          <w:lang w:val="sr-Cyrl-RS"/>
        </w:rPr>
        <w:t xml:space="preserve"> od ispitanika koji su </w:t>
      </w:r>
      <w:r>
        <w:rPr>
          <w:rFonts w:ascii="Microsoft Sans Serif" w:hAnsi="Microsoft Sans Serif" w:cs="Microsoft Sans Serif"/>
          <w:sz w:val="20"/>
          <w:szCs w:val="20"/>
          <w:lang w:val="sv-SE"/>
        </w:rPr>
        <w:t>ocjen</w:t>
      </w:r>
      <w:r>
        <w:rPr>
          <w:rFonts w:ascii="Microsoft Sans Serif" w:hAnsi="Microsoft Sans Serif" w:cs="Microsoft Sans Serif"/>
          <w:sz w:val="20"/>
          <w:szCs w:val="20"/>
          <w:lang w:val="sr-Cyrl-RS"/>
        </w:rPr>
        <w:t>ili</w:t>
      </w:r>
      <w:r>
        <w:rPr>
          <w:rFonts w:ascii="Microsoft Sans Serif" w:hAnsi="Microsoft Sans Serif" w:cs="Microsoft Sans Serif"/>
          <w:sz w:val="20"/>
          <w:szCs w:val="20"/>
          <w:lang w:val="sv-SE"/>
        </w:rPr>
        <w:t xml:space="preserve"> proizvod kao „dob</w:t>
      </w:r>
      <w:r>
        <w:rPr>
          <w:rFonts w:ascii="Microsoft Sans Serif" w:hAnsi="Microsoft Sans Serif" w:cs="Microsoft Sans Serif"/>
          <w:sz w:val="20"/>
          <w:szCs w:val="20"/>
          <w:lang w:val="sr-Cyrl-RS"/>
        </w:rPr>
        <w:t>ar</w:t>
      </w:r>
      <w:r>
        <w:rPr>
          <w:rFonts w:ascii="Microsoft Sans Serif" w:hAnsi="Microsoft Sans Serif" w:cs="Microsoft Sans Serif"/>
          <w:sz w:val="20"/>
          <w:szCs w:val="20"/>
          <w:lang w:val="sv-SE"/>
        </w:rPr>
        <w:t>“, „vrlo dob</w:t>
      </w:r>
      <w:r>
        <w:rPr>
          <w:rFonts w:ascii="Microsoft Sans Serif" w:hAnsi="Microsoft Sans Serif" w:cs="Microsoft Sans Serif"/>
          <w:sz w:val="20"/>
          <w:szCs w:val="20"/>
          <w:lang w:val="sr-Cyrl-RS"/>
        </w:rPr>
        <w:t>ar</w:t>
      </w:r>
      <w:r>
        <w:rPr>
          <w:rFonts w:ascii="Microsoft Sans Serif" w:hAnsi="Microsoft Sans Serif" w:cs="Microsoft Sans Serif"/>
          <w:sz w:val="20"/>
          <w:szCs w:val="20"/>
          <w:lang w:val="sv-SE"/>
        </w:rPr>
        <w:t>“ ili „odlič</w:t>
      </w:r>
      <w:r>
        <w:rPr>
          <w:rFonts w:ascii="Microsoft Sans Serif" w:hAnsi="Microsoft Sans Serif" w:cs="Microsoft Sans Serif"/>
          <w:sz w:val="20"/>
          <w:szCs w:val="20"/>
          <w:lang w:val="sr-Cyrl-RS"/>
        </w:rPr>
        <w:t>an</w:t>
      </w:r>
      <w:r>
        <w:rPr>
          <w:rFonts w:ascii="Microsoft Sans Serif" w:hAnsi="Microsoft Sans Serif" w:cs="Microsoft Sans Serif"/>
          <w:sz w:val="20"/>
          <w:szCs w:val="20"/>
          <w:lang w:val="sv-SE"/>
        </w:rPr>
        <w:t>“ u postizanju ublažavanja bolova. Lijek sa fiksnom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kombinacijom ima znatno 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 efekat od paracetamola 1000 mg (p &lt;0,0001).</w:t>
      </w:r>
    </w:p>
    <w:p w14:paraId="006390AC">
      <w:pPr>
        <w:rPr>
          <w:rFonts w:ascii="Microsoft Sans Serif" w:hAnsi="Microsoft Sans Serif" w:cs="Microsoft Sans Serif"/>
          <w:sz w:val="20"/>
          <w:szCs w:val="20"/>
          <w:lang w:val="sv-SE"/>
        </w:rPr>
      </w:pPr>
    </w:p>
    <w:p w14:paraId="06B1C10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Randomizovana, dvostruko slijepa, placebom kontrolisana studija je izvedena sa ovim lijekom koji je korišćen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 liječenje hroničnog bola u kolenu. Studija je pokazala:</w:t>
      </w:r>
    </w:p>
    <w:p w14:paraId="6C47A36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Lijek omogućava efikasnije oslobađanje od bolova nego 1000 mg paracetamola u kratkoročnoj terapiji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&lt;0,01) i dugoročnoj terapiji (p &lt;0,01).</w:t>
      </w:r>
    </w:p>
    <w:p w14:paraId="1355926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Globalna ocjena proizvoda od strane ispitanika je pokazala visok nivo zadovol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stva sa 60,2% </w:t>
      </w:r>
      <w:r>
        <w:rPr>
          <w:rFonts w:ascii="Microsoft Sans Serif" w:hAnsi="Microsoft Sans Serif" w:cs="Microsoft Sans Serif"/>
          <w:sz w:val="20"/>
          <w:szCs w:val="20"/>
          <w:lang w:val="sr-Cyrl-RS"/>
        </w:rPr>
        <w:t xml:space="preserve">od ispitanika koji su </w:t>
      </w:r>
      <w:r>
        <w:rPr>
          <w:rFonts w:ascii="Microsoft Sans Serif" w:hAnsi="Microsoft Sans Serif" w:cs="Microsoft Sans Serif"/>
          <w:sz w:val="20"/>
          <w:szCs w:val="20"/>
          <w:lang w:val="sv-SE"/>
        </w:rPr>
        <w:t>ocjen</w:t>
      </w:r>
      <w:r>
        <w:rPr>
          <w:rFonts w:ascii="Microsoft Sans Serif" w:hAnsi="Microsoft Sans Serif" w:cs="Microsoft Sans Serif"/>
          <w:sz w:val="20"/>
          <w:szCs w:val="20"/>
          <w:lang w:val="sr-Cyrl-RS"/>
        </w:rPr>
        <w:t xml:space="preserve">ili </w:t>
      </w:r>
      <w:r>
        <w:rPr>
          <w:rFonts w:ascii="Microsoft Sans Serif" w:hAnsi="Microsoft Sans Serif" w:cs="Microsoft Sans Serif"/>
          <w:sz w:val="20"/>
          <w:szCs w:val="20"/>
          <w:lang w:val="sv-SE"/>
        </w:rPr>
        <w:t>proizvod kao "dobar" ili "odličan" kod dugoročnog tretmana bola u kolenu. Proizvod ima znatno 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 efekat od paracetamola 1000 mg (p &lt;0,001).</w:t>
      </w:r>
    </w:p>
    <w:p w14:paraId="54DEA095">
      <w:pPr>
        <w:rPr>
          <w:rFonts w:ascii="Microsoft Sans Serif" w:hAnsi="Microsoft Sans Serif" w:cs="Microsoft Sans Serif"/>
          <w:b/>
          <w:bCs/>
          <w:sz w:val="20"/>
          <w:szCs w:val="20"/>
          <w:lang w:val="sv-SE"/>
        </w:rPr>
      </w:pPr>
    </w:p>
    <w:p w14:paraId="7BC3572E">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Farmakokinetičke karakteristike</w:t>
      </w:r>
    </w:p>
    <w:p w14:paraId="0FF484DD">
      <w:pPr>
        <w:autoSpaceDE w:val="0"/>
        <w:autoSpaceDN w:val="0"/>
        <w:adjustRightInd w:val="0"/>
        <w:rPr>
          <w:rFonts w:ascii="Microsoft Sans Serif" w:hAnsi="Microsoft Sans Serif" w:cs="Microsoft Sans Serif"/>
          <w:color w:val="FF0000"/>
          <w:sz w:val="20"/>
          <w:szCs w:val="20"/>
          <w:lang w:val="sv-SE"/>
        </w:rPr>
      </w:pPr>
    </w:p>
    <w:p w14:paraId="3299BD38">
      <w:pPr>
        <w:autoSpaceDE w:val="0"/>
        <w:autoSpaceDN w:val="0"/>
        <w:adjustRightInd w:val="0"/>
        <w:rPr>
          <w:rFonts w:ascii="Microsoft Sans Serif" w:hAnsi="Microsoft Sans Serif" w:cs="Microsoft Sans Serif"/>
          <w:b/>
          <w:sz w:val="20"/>
          <w:szCs w:val="20"/>
          <w:u w:val="single"/>
          <w:lang w:val="sr-Cyrl-RS"/>
        </w:rPr>
      </w:pPr>
      <w:r>
        <w:rPr>
          <w:rFonts w:ascii="Microsoft Sans Serif" w:hAnsi="Microsoft Sans Serif" w:cs="Microsoft Sans Serif"/>
          <w:b/>
          <w:sz w:val="20"/>
          <w:szCs w:val="20"/>
          <w:u w:val="single"/>
          <w:lang w:val="sr-Cyrl-RS"/>
        </w:rPr>
        <w:t>Ibuprofen</w:t>
      </w:r>
    </w:p>
    <w:p w14:paraId="4EFCEA41">
      <w:pPr>
        <w:numPr>
          <w:ilvl w:val="12"/>
          <w:numId w:val="0"/>
        </w:numPr>
        <w:rPr>
          <w:rFonts w:ascii="Microsoft Sans Serif" w:hAnsi="Microsoft Sans Serif" w:cs="Microsoft Sans Serif"/>
          <w:iCs/>
          <w:sz w:val="20"/>
          <w:szCs w:val="20"/>
          <w:u w:val="single"/>
          <w:lang w:val="sr-Latn-RS"/>
        </w:rPr>
      </w:pPr>
    </w:p>
    <w:p w14:paraId="57B3A271">
      <w:pPr>
        <w:numPr>
          <w:ilvl w:val="12"/>
          <w:numId w:val="0"/>
        </w:numPr>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Resorpcija</w:t>
      </w:r>
    </w:p>
    <w:p w14:paraId="216BB94C">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v-SE"/>
        </w:rPr>
        <w:t>Ibuprofen se dobro resorbuje iz gastrointestinalnog trakta.</w:t>
      </w:r>
      <w:r>
        <w:rPr>
          <w:rFonts w:ascii="Microsoft Sans Serif" w:hAnsi="Microsoft Sans Serif" w:cs="Microsoft Sans Serif"/>
          <w:sz w:val="20"/>
          <w:szCs w:val="20"/>
          <w:lang w:val="sv-SE"/>
        </w:rPr>
        <w:t xml:space="preserve"> </w:t>
      </w:r>
      <w:r>
        <w:rPr>
          <w:rFonts w:ascii="Microsoft Sans Serif" w:hAnsi="Microsoft Sans Serif" w:cs="Microsoft Sans Serif"/>
          <w:iCs/>
          <w:sz w:val="20"/>
          <w:szCs w:val="20"/>
          <w:lang w:val="sv-SE"/>
        </w:rPr>
        <w:t>Ibuprofen iz ovog</w:t>
      </w:r>
      <w:r>
        <w:rPr>
          <w:rFonts w:ascii="Microsoft Sans Serif" w:hAnsi="Microsoft Sans Serif" w:cs="Microsoft Sans Serif"/>
          <w:iCs/>
          <w:sz w:val="20"/>
          <w:szCs w:val="20"/>
          <w:lang w:val="sr-Cyrl-RS"/>
        </w:rPr>
        <w:t xml:space="preserv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eka je detektovan </w:t>
      </w:r>
      <w:r>
        <w:rPr>
          <w:rFonts w:ascii="Microsoft Sans Serif" w:hAnsi="Microsoft Sans Serif" w:cs="Microsoft Sans Serif"/>
          <w:iCs/>
          <w:sz w:val="20"/>
          <w:szCs w:val="20"/>
          <w:lang w:val="sv-SE"/>
        </w:rPr>
        <w:t xml:space="preserve">u plazmi nakon 5 minuta, a maksimalna koncentracija u plazmi postignuta je u roku od 1-2 sata nakon uzimanja na prazan želudac. </w:t>
      </w:r>
      <w:r>
        <w:rPr>
          <w:rFonts w:ascii="Microsoft Sans Serif" w:hAnsi="Microsoft Sans Serif" w:cs="Microsoft Sans Serif"/>
          <w:iCs/>
          <w:sz w:val="20"/>
          <w:szCs w:val="20"/>
          <w:lang w:val="sr-Cyrl-RS"/>
        </w:rPr>
        <w:t>Nakon uzimanja</w:t>
      </w:r>
      <w:r>
        <w:rPr>
          <w:rFonts w:ascii="Microsoft Sans Serif" w:hAnsi="Microsoft Sans Serif" w:cs="Microsoft Sans Serif"/>
          <w:iCs/>
          <w:sz w:val="20"/>
          <w:szCs w:val="20"/>
          <w:lang w:val="sv-SE"/>
        </w:rPr>
        <w:t xml:space="preserve"> sa hranom, </w:t>
      </w:r>
      <w:r>
        <w:rPr>
          <w:rFonts w:ascii="Microsoft Sans Serif" w:hAnsi="Microsoft Sans Serif" w:cs="Microsoft Sans Serif"/>
          <w:iCs/>
          <w:sz w:val="20"/>
          <w:szCs w:val="20"/>
          <w:lang w:val="sr-Cyrl-RS"/>
        </w:rPr>
        <w:t>maksimalna koncentracija</w:t>
      </w:r>
      <w:r>
        <w:rPr>
          <w:rFonts w:ascii="Microsoft Sans Serif" w:hAnsi="Microsoft Sans Serif" w:cs="Microsoft Sans Serif"/>
          <w:iCs/>
          <w:sz w:val="20"/>
          <w:szCs w:val="20"/>
          <w:lang w:val="sv-SE"/>
        </w:rPr>
        <w:t xml:space="preserve"> ibuprofena u plazmi </w:t>
      </w:r>
      <w:r>
        <w:rPr>
          <w:rFonts w:ascii="Microsoft Sans Serif" w:hAnsi="Microsoft Sans Serif" w:cs="Microsoft Sans Serif"/>
          <w:iCs/>
          <w:sz w:val="20"/>
          <w:szCs w:val="20"/>
          <w:lang w:val="sr-Cyrl-RS"/>
        </w:rPr>
        <w:t>su bila</w:t>
      </w:r>
      <w:r>
        <w:rPr>
          <w:rFonts w:ascii="Microsoft Sans Serif" w:hAnsi="Microsoft Sans Serif" w:cs="Microsoft Sans Serif"/>
          <w:iCs/>
          <w:sz w:val="20"/>
          <w:szCs w:val="20"/>
          <w:lang w:val="sv-SE"/>
        </w:rPr>
        <w:t xml:space="preserve"> niža i postignuta je kasnije za</w:t>
      </w:r>
      <w:r>
        <w:rPr>
          <w:rFonts w:ascii="Microsoft Sans Serif" w:hAnsi="Microsoft Sans Serif" w:cs="Microsoft Sans Serif"/>
          <w:iCs/>
          <w:sz w:val="20"/>
          <w:szCs w:val="20"/>
          <w:lang w:val="sr-Cyrl-RS"/>
        </w:rPr>
        <w:t xml:space="preserve"> medijan vremena </w:t>
      </w:r>
      <w:r>
        <w:rPr>
          <w:rFonts w:ascii="Microsoft Sans Serif" w:hAnsi="Microsoft Sans Serif" w:cs="Microsoft Sans Serif"/>
          <w:iCs/>
          <w:sz w:val="20"/>
          <w:szCs w:val="20"/>
          <w:lang w:val="sv-SE"/>
        </w:rPr>
        <w:t>od</w:t>
      </w:r>
      <w:r>
        <w:rPr>
          <w:rFonts w:ascii="Microsoft Sans Serif" w:hAnsi="Microsoft Sans Serif" w:cs="Microsoft Sans Serif"/>
          <w:iCs/>
          <w:sz w:val="20"/>
          <w:szCs w:val="20"/>
          <w:lang w:val="sr-Cyrl-RS"/>
        </w:rPr>
        <w:t xml:space="preserve"> 25 minuta</w:t>
      </w:r>
      <w:r>
        <w:rPr>
          <w:rFonts w:ascii="Microsoft Sans Serif" w:hAnsi="Microsoft Sans Serif" w:cs="Microsoft Sans Serif"/>
          <w:iCs/>
          <w:sz w:val="20"/>
          <w:szCs w:val="20"/>
          <w:lang w:val="sv-SE"/>
        </w:rPr>
        <w:t>, ali je ukupni stepen resorpcije bio ekvivalentan</w:t>
      </w:r>
      <w:r>
        <w:rPr>
          <w:rFonts w:ascii="Microsoft Sans Serif" w:hAnsi="Microsoft Sans Serif" w:cs="Microsoft Sans Serif"/>
          <w:iCs/>
          <w:sz w:val="20"/>
          <w:szCs w:val="20"/>
          <w:lang w:val="sr-Cyrl-RS"/>
        </w:rPr>
        <w:t>.</w:t>
      </w:r>
    </w:p>
    <w:p w14:paraId="3CB04FD5">
      <w:pPr>
        <w:numPr>
          <w:ilvl w:val="12"/>
          <w:numId w:val="0"/>
        </w:numPr>
        <w:rPr>
          <w:rFonts w:ascii="Microsoft Sans Serif" w:hAnsi="Microsoft Sans Serif" w:cs="Microsoft Sans Serif"/>
          <w:iCs/>
          <w:sz w:val="20"/>
          <w:szCs w:val="20"/>
          <w:lang w:val="sv-SE"/>
        </w:rPr>
      </w:pPr>
    </w:p>
    <w:p w14:paraId="52F37332">
      <w:pPr>
        <w:numPr>
          <w:ilvl w:val="12"/>
          <w:numId w:val="0"/>
        </w:numPr>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Distribucija</w:t>
      </w:r>
    </w:p>
    <w:p w14:paraId="609736AE">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Ibuprofen se u velikoj 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eri vezuje za proteine plazme. Ibuprofen prelazi u sinovijalnu tečnost.</w:t>
      </w:r>
    </w:p>
    <w:p w14:paraId="2419922C">
      <w:pPr>
        <w:numPr>
          <w:ilvl w:val="12"/>
          <w:numId w:val="0"/>
        </w:numPr>
        <w:rPr>
          <w:rFonts w:ascii="Microsoft Sans Serif" w:hAnsi="Microsoft Sans Serif" w:cs="Microsoft Sans Serif"/>
          <w:iCs/>
          <w:sz w:val="20"/>
          <w:szCs w:val="20"/>
          <w:u w:val="single"/>
          <w:lang w:val="sv-SE"/>
        </w:rPr>
      </w:pPr>
    </w:p>
    <w:p w14:paraId="0409571D">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u w:val="single"/>
          <w:lang w:val="sr-Cyrl-RS"/>
        </w:rPr>
        <w:t>Metabolizam</w:t>
      </w:r>
    </w:p>
    <w:p w14:paraId="755F9EB1">
      <w:pPr>
        <w:tabs>
          <w:tab w:val="clear" w:pos="284"/>
        </w:tabs>
        <w:autoSpaceDE w:val="0"/>
        <w:autoSpaceDN w:val="0"/>
        <w:adjustRightInd w:val="0"/>
        <w:jc w:val="left"/>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 xml:space="preserve">Ibuprofen se metaboliše u jetri do dva velika metabolita </w:t>
      </w:r>
      <w:r>
        <w:rPr>
          <w:rFonts w:ascii="Microsoft Sans Serif" w:hAnsi="Microsoft Sans Serif" w:cs="Microsoft Sans Serif"/>
          <w:sz w:val="20"/>
          <w:szCs w:val="20"/>
          <w:lang w:val="sv-SE"/>
        </w:rPr>
        <w:t>koji se najvećim dijelom izlučuju putem bubrega, bilo slobodni ili u konjugiranom obliku</w:t>
      </w:r>
      <w:r>
        <w:rPr>
          <w:rFonts w:ascii="Microsoft Sans Serif" w:hAnsi="Microsoft Sans Serif" w:cs="Microsoft Sans Serif"/>
          <w:iCs/>
          <w:sz w:val="20"/>
          <w:szCs w:val="20"/>
          <w:lang w:val="sr-Cyrl-RS"/>
        </w:rPr>
        <w:t>, zajedno sa zanemarlјivom količinom neprom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enjenog ibuprofena.</w:t>
      </w:r>
    </w:p>
    <w:p w14:paraId="7057DE1D">
      <w:pPr>
        <w:numPr>
          <w:ilvl w:val="12"/>
          <w:numId w:val="0"/>
        </w:numPr>
        <w:rPr>
          <w:rFonts w:ascii="Microsoft Sans Serif" w:hAnsi="Microsoft Sans Serif" w:cs="Microsoft Sans Serif"/>
          <w:iCs/>
          <w:sz w:val="20"/>
          <w:szCs w:val="20"/>
          <w:lang w:val="sv-SE"/>
        </w:rPr>
      </w:pPr>
    </w:p>
    <w:p w14:paraId="75F0FB70">
      <w:pPr>
        <w:numPr>
          <w:ilvl w:val="12"/>
          <w:numId w:val="0"/>
        </w:numPr>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Eliminacija</w:t>
      </w:r>
    </w:p>
    <w:p w14:paraId="38EAF019">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v-SE"/>
        </w:rPr>
        <w:t>Ekskrecija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putem bubrega je i brza i potpuna. </w:t>
      </w:r>
      <w:r>
        <w:rPr>
          <w:rFonts w:ascii="Microsoft Sans Serif" w:hAnsi="Microsoft Sans Serif" w:cs="Microsoft Sans Serif"/>
          <w:iCs/>
          <w:sz w:val="20"/>
          <w:szCs w:val="20"/>
          <w:lang w:val="fr-FR"/>
        </w:rPr>
        <w:t>Poluvrijeme eliminacije je oko 2 sata</w:t>
      </w:r>
      <w:r>
        <w:rPr>
          <w:rFonts w:ascii="Microsoft Sans Serif" w:hAnsi="Microsoft Sans Serif" w:cs="Microsoft Sans Serif"/>
          <w:iCs/>
          <w:sz w:val="20"/>
          <w:szCs w:val="20"/>
          <w:lang w:val="sr-Cyrl-RS"/>
        </w:rPr>
        <w:t>.</w:t>
      </w:r>
      <w:r>
        <w:rPr>
          <w:rFonts w:ascii="Microsoft Sans Serif" w:hAnsi="Microsoft Sans Serif" w:cs="Microsoft Sans Serif"/>
          <w:sz w:val="20"/>
          <w:szCs w:val="20"/>
          <w:lang w:val="fr-FR"/>
        </w:rPr>
        <w:t xml:space="preserve"> </w:t>
      </w:r>
      <w:r>
        <w:rPr>
          <w:rFonts w:ascii="Microsoft Sans Serif" w:hAnsi="Microsoft Sans Serif" w:cs="Microsoft Sans Serif"/>
          <w:iCs/>
          <w:sz w:val="20"/>
          <w:szCs w:val="20"/>
          <w:lang w:val="sr-Cyrl-RS"/>
        </w:rPr>
        <w:t>U ograničenom broju studija, ibuprofen se pojavlјuje u majčinom ml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eku u veoma malim koncentracijama.</w:t>
      </w:r>
    </w:p>
    <w:p w14:paraId="2809C507">
      <w:pPr>
        <w:numPr>
          <w:ilvl w:val="12"/>
          <w:numId w:val="0"/>
        </w:numPr>
        <w:rPr>
          <w:rFonts w:ascii="Microsoft Sans Serif" w:hAnsi="Microsoft Sans Serif" w:cs="Microsoft Sans Serif"/>
          <w:iCs/>
          <w:sz w:val="20"/>
          <w:szCs w:val="20"/>
          <w:lang w:val="sr-Cyrl-RS"/>
        </w:rPr>
      </w:pPr>
    </w:p>
    <w:p w14:paraId="19D85E22">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Nema značajne razlike u farmakokinetičkom profilu ibuprofena kod starijih osoba.</w:t>
      </w:r>
    </w:p>
    <w:p w14:paraId="1CA007DC">
      <w:pPr>
        <w:numPr>
          <w:ilvl w:val="12"/>
          <w:numId w:val="0"/>
        </w:numPr>
        <w:rPr>
          <w:rFonts w:ascii="Microsoft Sans Serif" w:hAnsi="Microsoft Sans Serif" w:cs="Microsoft Sans Serif"/>
          <w:iCs/>
          <w:sz w:val="20"/>
          <w:szCs w:val="20"/>
          <w:lang w:val="sr-Cyrl-RS"/>
        </w:rPr>
      </w:pPr>
    </w:p>
    <w:p w14:paraId="6F7CD66B">
      <w:pPr>
        <w:numPr>
          <w:ilvl w:val="12"/>
          <w:numId w:val="0"/>
        </w:numPr>
        <w:tabs>
          <w:tab w:val="left" w:pos="0"/>
        </w:tabs>
        <w:rPr>
          <w:rFonts w:ascii="Microsoft Sans Serif" w:hAnsi="Microsoft Sans Serif" w:cs="Microsoft Sans Serif"/>
          <w:b/>
          <w:iCs/>
          <w:sz w:val="20"/>
          <w:szCs w:val="20"/>
          <w:u w:val="single"/>
          <w:lang w:val="sr-Cyrl-RS"/>
        </w:rPr>
      </w:pPr>
    </w:p>
    <w:p w14:paraId="425A3DAA">
      <w:pPr>
        <w:numPr>
          <w:ilvl w:val="12"/>
          <w:numId w:val="0"/>
        </w:numPr>
        <w:tabs>
          <w:tab w:val="left" w:pos="0"/>
        </w:tabs>
        <w:rPr>
          <w:rFonts w:ascii="Microsoft Sans Serif" w:hAnsi="Microsoft Sans Serif" w:cs="Microsoft Sans Serif"/>
          <w:b/>
          <w:iCs/>
          <w:sz w:val="20"/>
          <w:szCs w:val="20"/>
          <w:u w:val="single"/>
          <w:lang w:val="sr-Cyrl-RS"/>
        </w:rPr>
      </w:pPr>
      <w:r>
        <w:rPr>
          <w:rFonts w:ascii="Microsoft Sans Serif" w:hAnsi="Microsoft Sans Serif" w:cs="Microsoft Sans Serif"/>
          <w:b/>
          <w:iCs/>
          <w:sz w:val="20"/>
          <w:szCs w:val="20"/>
          <w:u w:val="single"/>
          <w:lang w:val="sr-Cyrl-RS"/>
        </w:rPr>
        <w:t>Paracetamol</w:t>
      </w:r>
    </w:p>
    <w:p w14:paraId="1AFC8C2F">
      <w:pPr>
        <w:numPr>
          <w:ilvl w:val="12"/>
          <w:numId w:val="0"/>
        </w:numPr>
        <w:tabs>
          <w:tab w:val="left" w:pos="0"/>
        </w:tabs>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Resorpcija</w:t>
      </w:r>
    </w:p>
    <w:p w14:paraId="659AB05A">
      <w:pPr>
        <w:numPr>
          <w:ilvl w:val="12"/>
          <w:numId w:val="0"/>
        </w:numPr>
        <w:tabs>
          <w:tab w:val="left" w:pos="0"/>
        </w:tabs>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Paracetamol se brzo resorbuje iz gastrointestinalnog trakta.</w:t>
      </w:r>
    </w:p>
    <w:p w14:paraId="7A6C5F42">
      <w:pPr>
        <w:numPr>
          <w:ilvl w:val="12"/>
          <w:numId w:val="0"/>
        </w:numPr>
        <w:tabs>
          <w:tab w:val="left" w:pos="0"/>
        </w:tabs>
        <w:rPr>
          <w:rFonts w:ascii="Microsoft Sans Serif" w:hAnsi="Microsoft Sans Serif" w:cs="Microsoft Sans Serif"/>
          <w:iCs/>
          <w:sz w:val="20"/>
          <w:szCs w:val="20"/>
          <w:lang w:val="sr-Cyrl-RS"/>
        </w:rPr>
      </w:pPr>
    </w:p>
    <w:p w14:paraId="2A8F5CC4">
      <w:pPr>
        <w:numPr>
          <w:ilvl w:val="12"/>
          <w:numId w:val="0"/>
        </w:numPr>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Distribucija</w:t>
      </w:r>
    </w:p>
    <w:p w14:paraId="58E6935C">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Vezivanje za proteine plazme je zanemarlјivo u uobičajenim terapijskim koncentracijama, iako je dozno zavisno. Nakon uzimanja ovog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eka, paracetamol je u plazmi detektovan nakon 5 minuta sa maksimalnom koncentracijom u plazmi postignutom u roku od 0,5- 0,67 sati posle uzimanja na prazan stomak. Nakon uzimanja sa hranom maksimalna koncentracija paracetamola u plazmi je bila niža i postignuta je kasnije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medijan vremena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55 minuta, ali je ukupan obim resorpcije ekvivalentan.</w:t>
      </w:r>
    </w:p>
    <w:p w14:paraId="20B00731">
      <w:pPr>
        <w:numPr>
          <w:ilvl w:val="12"/>
          <w:numId w:val="0"/>
        </w:numPr>
        <w:rPr>
          <w:rFonts w:ascii="Microsoft Sans Serif" w:hAnsi="Microsoft Sans Serif" w:cs="Microsoft Sans Serif"/>
          <w:iCs/>
          <w:sz w:val="20"/>
          <w:szCs w:val="20"/>
          <w:lang w:val="sr-Cyrl-RS"/>
        </w:rPr>
      </w:pPr>
    </w:p>
    <w:p w14:paraId="1C10A351">
      <w:pPr>
        <w:numPr>
          <w:ilvl w:val="12"/>
          <w:numId w:val="0"/>
        </w:numPr>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Metabolizam</w:t>
      </w:r>
    </w:p>
    <w:p w14:paraId="45561CF6">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 xml:space="preserve">Paracetamol se metaboliše u jetri. </w:t>
      </w:r>
    </w:p>
    <w:p w14:paraId="13A1EE99">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 xml:space="preserve">Manje hidroksiliranih metabolita, koji se obično proizvode u veoma malim količinama kombinovanim procesom oksidacije u jetri i detoksikuju se procesom konjugacije sa glutationom iz jetre, mogu da se akumuliraju nakon predoziranja paracetamolom i da izazove oštećenje jetre. </w:t>
      </w:r>
    </w:p>
    <w:p w14:paraId="464B2645">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Nema značajne razlike u farmakokinetičkom profilu paracetamola kod starijih osoba.</w:t>
      </w:r>
    </w:p>
    <w:p w14:paraId="4C07F1DE">
      <w:pPr>
        <w:numPr>
          <w:ilvl w:val="12"/>
          <w:numId w:val="0"/>
        </w:numPr>
        <w:rPr>
          <w:rFonts w:ascii="Microsoft Sans Serif" w:hAnsi="Microsoft Sans Serif" w:cs="Microsoft Sans Serif"/>
          <w:iCs/>
          <w:sz w:val="20"/>
          <w:szCs w:val="20"/>
          <w:lang w:val="sr-Cyrl-RS"/>
        </w:rPr>
      </w:pPr>
    </w:p>
    <w:p w14:paraId="67D6B274">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u w:val="single"/>
          <w:lang w:val="sr-Cyrl-RS"/>
        </w:rPr>
        <w:t>Eliminacija</w:t>
      </w:r>
    </w:p>
    <w:p w14:paraId="3289000E">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Paracetamol se izlučuje</w:t>
      </w:r>
      <w:r>
        <w:rPr>
          <w:rFonts w:ascii="Microsoft Sans Serif" w:hAnsi="Microsoft Sans Serif" w:cs="Microsoft Sans Serif"/>
          <w:iCs/>
          <w:sz w:val="20"/>
          <w:szCs w:val="20"/>
          <w:lang w:val="sr-Latn-RS"/>
        </w:rPr>
        <w:t xml:space="preserve"> </w:t>
      </w:r>
      <w:r>
        <w:rPr>
          <w:rFonts w:ascii="Microsoft Sans Serif" w:hAnsi="Microsoft Sans Serif" w:cs="Microsoft Sans Serif"/>
          <w:iCs/>
          <w:sz w:val="20"/>
          <w:szCs w:val="20"/>
          <w:lang w:val="sr-Cyrl-RS"/>
        </w:rPr>
        <w:t>urinom, uglavnom kao glukuronid i sulfatni konjugati, pri čemu je oko 10% u obliku glutation konjugata. Manje od 5% se izlučuje kao neprom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enjeni paracetamol. Poluvr</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eme eliminacije je oko 3 sata.</w:t>
      </w:r>
    </w:p>
    <w:p w14:paraId="4CD3F2D9">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Bioraspoloživost i farmakokinetički profili ibuprofena i paracetamola uzetih u ovom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eku nisu prom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enjeni u odnosu na to kada se uzmu u kombinaciji, kao jedna ili ponovlјena doza.</w:t>
      </w:r>
    </w:p>
    <w:p w14:paraId="7A185FE5">
      <w:pPr>
        <w:rPr>
          <w:rFonts w:ascii="Microsoft Sans Serif" w:hAnsi="Microsoft Sans Serif" w:cs="Microsoft Sans Serif"/>
          <w:sz w:val="20"/>
          <w:szCs w:val="20"/>
          <w:lang w:val="sr-Cyrl-RS"/>
        </w:rPr>
      </w:pPr>
    </w:p>
    <w:p w14:paraId="1423D811">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5.3. </w:t>
      </w:r>
      <w:r>
        <w:rPr>
          <w:rFonts w:ascii="Microsoft Sans Serif" w:hAnsi="Microsoft Sans Serif" w:cs="Microsoft Sans Serif"/>
          <w:b/>
          <w:bCs/>
          <w:sz w:val="20"/>
          <w:szCs w:val="20"/>
          <w:lang w:val="sr-Latn-RS"/>
        </w:rPr>
        <w:t>Ne</w:t>
      </w:r>
      <w:r>
        <w:rPr>
          <w:rFonts w:ascii="Microsoft Sans Serif" w:hAnsi="Microsoft Sans Serif" w:cs="Microsoft Sans Serif"/>
          <w:b/>
          <w:bCs/>
          <w:sz w:val="20"/>
          <w:szCs w:val="20"/>
          <w:lang w:val="ru-RU"/>
        </w:rPr>
        <w:t>klini</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lang w:val="ru-RU"/>
        </w:rPr>
        <w:t>ki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podaci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sr-Latn-RS"/>
        </w:rPr>
        <w:t>sigurnosti primjene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3E24D207">
      <w:pPr>
        <w:rPr>
          <w:rFonts w:ascii="Microsoft Sans Serif" w:hAnsi="Microsoft Sans Serif" w:cs="Microsoft Sans Serif"/>
          <w:b/>
          <w:bCs/>
          <w:sz w:val="20"/>
          <w:szCs w:val="20"/>
          <w:lang w:val="sr-Cyrl-RS"/>
        </w:rPr>
      </w:pPr>
    </w:p>
    <w:p w14:paraId="259A25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ru-RU"/>
        </w:rPr>
        <w:t>Toksikolo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lang w:val="ru-RU"/>
        </w:rPr>
        <w:t>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ednosni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profil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ibuprofena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paracetamola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utvr</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lang w:val="ru-RU"/>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eksperimentima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ž</w:t>
      </w:r>
      <w:r>
        <w:rPr>
          <w:rFonts w:ascii="Microsoft Sans Serif" w:hAnsi="Microsoft Sans Serif" w:cs="Microsoft Sans Serif"/>
          <w:bCs/>
          <w:sz w:val="20"/>
          <w:szCs w:val="20"/>
          <w:lang w:val="ru-RU"/>
        </w:rPr>
        <w:t>ivotinjama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iz</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velikog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iskustva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udima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Nema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novih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pretklini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kih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podataka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zna</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aja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ekare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propisuju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bi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bili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dopuna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ve</w:t>
      </w:r>
      <w:r>
        <w:rPr>
          <w:rFonts w:ascii="Microsoft Sans Serif" w:hAnsi="Microsoft Sans Serif" w:cs="Microsoft Sans Serif"/>
          <w:bCs/>
          <w:sz w:val="20"/>
          <w:szCs w:val="20"/>
          <w:lang w:val="sr-Cyrl-RS"/>
        </w:rPr>
        <w:t xml:space="preserve">ć </w:t>
      </w:r>
      <w:r>
        <w:rPr>
          <w:rFonts w:ascii="Microsoft Sans Serif" w:hAnsi="Microsoft Sans Serif" w:cs="Microsoft Sans Serif"/>
          <w:bCs/>
          <w:sz w:val="20"/>
          <w:szCs w:val="20"/>
          <w:lang w:val="ru-RU"/>
        </w:rPr>
        <w:t>navedenim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podacima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ovom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lang w:val="ru-RU"/>
        </w:rPr>
        <w:t>etku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karakteristika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eka</w:t>
      </w:r>
      <w:r>
        <w:rPr>
          <w:rFonts w:ascii="Microsoft Sans Serif" w:hAnsi="Microsoft Sans Serif" w:cs="Microsoft Sans Serif"/>
          <w:bCs/>
          <w:sz w:val="20"/>
          <w:szCs w:val="20"/>
          <w:lang w:val="sr-Cyrl-RS"/>
        </w:rPr>
        <w:t>.</w:t>
      </w:r>
    </w:p>
    <w:p w14:paraId="25A9A383">
      <w:pPr>
        <w:autoSpaceDE w:val="0"/>
        <w:autoSpaceDN w:val="0"/>
        <w:adjustRightInd w:val="0"/>
        <w:rPr>
          <w:rFonts w:ascii="Microsoft Sans Serif" w:hAnsi="Microsoft Sans Serif" w:cs="Microsoft Sans Serif"/>
          <w:color w:val="000000" w:themeColor="text1"/>
          <w:sz w:val="20"/>
          <w:szCs w:val="20"/>
          <w:lang w:val="sr-Cyrl-RS"/>
          <w14:textFill>
            <w14:solidFill>
              <w14:schemeClr w14:val="tx1"/>
            </w14:solidFill>
          </w14:textFill>
        </w:rPr>
      </w:pPr>
    </w:p>
    <w:p w14:paraId="77F2913C">
      <w:pPr>
        <w:autoSpaceDE w:val="0"/>
        <w:autoSpaceDN w:val="0"/>
        <w:adjustRightInd w:val="0"/>
        <w:rPr>
          <w:rFonts w:ascii="Microsoft Sans Serif" w:hAnsi="Microsoft Sans Serif" w:cs="Microsoft Sans Serif"/>
          <w:color w:val="000000" w:themeColor="text1"/>
          <w:sz w:val="20"/>
          <w:szCs w:val="20"/>
          <w:lang w:val="sr-Cyrl-RS"/>
          <w14:textFill>
            <w14:solidFill>
              <w14:schemeClr w14:val="tx1"/>
            </w14:solidFill>
          </w14:textFill>
        </w:rPr>
      </w:pPr>
    </w:p>
    <w:p w14:paraId="2FBA90ED">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6. </w:t>
      </w:r>
      <w:r>
        <w:rPr>
          <w:rFonts w:ascii="Microsoft Sans Serif" w:hAnsi="Microsoft Sans Serif" w:cs="Microsoft Sans Serif"/>
          <w:b/>
          <w:sz w:val="20"/>
          <w:szCs w:val="20"/>
        </w:rPr>
        <w:t>FARMACEUTSKI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PODACI</w:t>
      </w:r>
    </w:p>
    <w:p w14:paraId="23569DC1">
      <w:pPr>
        <w:rPr>
          <w:rFonts w:ascii="Microsoft Sans Serif" w:hAnsi="Microsoft Sans Serif" w:cs="Microsoft Sans Serif"/>
          <w:b/>
          <w:bCs/>
          <w:sz w:val="20"/>
          <w:szCs w:val="20"/>
          <w:lang w:val="mk-MK"/>
        </w:rPr>
      </w:pPr>
    </w:p>
    <w:p w14:paraId="4CEEBDC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Cyrl-RS"/>
        </w:rPr>
        <w:t xml:space="preserve">6.1. </w:t>
      </w:r>
      <w:r>
        <w:rPr>
          <w:rFonts w:ascii="Microsoft Sans Serif" w:hAnsi="Microsoft Sans Serif" w:cs="Microsoft Sans Serif"/>
          <w:b/>
          <w:bCs/>
          <w:sz w:val="20"/>
          <w:szCs w:val="20"/>
        </w:rPr>
        <w:t>Lista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pomo</w:t>
      </w:r>
      <w:r>
        <w:rPr>
          <w:rFonts w:ascii="Microsoft Sans Serif" w:hAnsi="Microsoft Sans Serif" w:cs="Microsoft Sans Serif"/>
          <w:b/>
          <w:bCs/>
          <w:sz w:val="20"/>
          <w:szCs w:val="20"/>
          <w:lang w:val="sr-Latn-CS"/>
        </w:rPr>
        <w:t>ćnih supstanci</w:t>
      </w:r>
    </w:p>
    <w:p w14:paraId="7DF3F5ED">
      <w:pPr>
        <w:rPr>
          <w:rFonts w:ascii="Microsoft Sans Serif" w:hAnsi="Microsoft Sans Serif" w:cs="Microsoft Sans Serif"/>
          <w:b/>
          <w:bCs/>
          <w:sz w:val="20"/>
          <w:szCs w:val="20"/>
          <w:lang w:val="sr-Latn-CS"/>
        </w:rPr>
      </w:pPr>
    </w:p>
    <w:p w14:paraId="132E757E">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Tabletno jezgro:</w:t>
      </w:r>
    </w:p>
    <w:p w14:paraId="785E27E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Skrob, kukuruzni </w:t>
      </w:r>
    </w:p>
    <w:p w14:paraId="4F2EC86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Povidon</w:t>
      </w:r>
    </w:p>
    <w:p w14:paraId="50CAE37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Kroskarmeloza-natrijum</w:t>
      </w:r>
    </w:p>
    <w:p w14:paraId="12855A7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Celuloza, mikrokristalna</w:t>
      </w:r>
    </w:p>
    <w:p w14:paraId="20EB97D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Silicijum-dioksid, koloidni, bezvodni</w:t>
      </w:r>
    </w:p>
    <w:p w14:paraId="092BDC9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Glicerol-dibehenat</w:t>
      </w:r>
    </w:p>
    <w:p w14:paraId="72BA07AF">
      <w:pPr>
        <w:rPr>
          <w:lang w:val="sr-Cyrl-RS"/>
        </w:rPr>
      </w:pPr>
    </w:p>
    <w:p w14:paraId="65C5B052">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Obloga tablete:</w:t>
      </w:r>
    </w:p>
    <w:p w14:paraId="6C0A1B6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Opadry White </w:t>
      </w:r>
    </w:p>
    <w:p w14:paraId="5ACACBB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Polivinil-alkohol, delimično hidrolizovan</w:t>
      </w:r>
    </w:p>
    <w:p w14:paraId="30F5D8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Talk</w:t>
      </w:r>
    </w:p>
    <w:p w14:paraId="626EBA9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Titan-dioksid</w:t>
      </w:r>
    </w:p>
    <w:p w14:paraId="4CF86E4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Glicerol-monokaprilokaprat</w:t>
      </w:r>
    </w:p>
    <w:p w14:paraId="71AC2BB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Natrijum-laurilsulfat</w:t>
      </w:r>
    </w:p>
    <w:p w14:paraId="751681C4">
      <w:pPr>
        <w:rPr>
          <w:lang w:val="mk-MK"/>
        </w:rPr>
      </w:pPr>
    </w:p>
    <w:p w14:paraId="7B7D3E80">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6.2. </w:t>
      </w:r>
      <w:r>
        <w:rPr>
          <w:rFonts w:ascii="Microsoft Sans Serif" w:hAnsi="Microsoft Sans Serif" w:cs="Microsoft Sans Serif"/>
          <w:b/>
          <w:bCs/>
          <w:sz w:val="20"/>
          <w:szCs w:val="20"/>
        </w:rPr>
        <w:t>Inkompatibilnost</w:t>
      </w:r>
    </w:p>
    <w:p w14:paraId="0ED3AFE9">
      <w:pPr>
        <w:autoSpaceDE w:val="0"/>
        <w:autoSpaceDN w:val="0"/>
        <w:adjustRightInd w:val="0"/>
        <w:rPr>
          <w:rFonts w:ascii="Microsoft Sans Serif" w:hAnsi="Microsoft Sans Serif" w:cs="Microsoft Sans Serif"/>
          <w:sz w:val="20"/>
          <w:szCs w:val="20"/>
          <w:lang w:val="sr-Cyrl-RS"/>
        </w:rPr>
      </w:pPr>
    </w:p>
    <w:p w14:paraId="6A103769">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enlјivo.</w:t>
      </w:r>
    </w:p>
    <w:p w14:paraId="0B2AB913">
      <w:pPr>
        <w:autoSpaceDE w:val="0"/>
        <w:autoSpaceDN w:val="0"/>
        <w:adjustRightInd w:val="0"/>
        <w:rPr>
          <w:rFonts w:ascii="Microsoft Sans Serif" w:hAnsi="Microsoft Sans Serif" w:cs="Microsoft Sans Serif"/>
          <w:sz w:val="20"/>
          <w:szCs w:val="20"/>
          <w:lang w:val="sr-Cyrl-RS"/>
        </w:rPr>
      </w:pPr>
    </w:p>
    <w:p w14:paraId="010AC009">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6.3. </w:t>
      </w:r>
      <w:r>
        <w:rPr>
          <w:rFonts w:ascii="Microsoft Sans Serif" w:hAnsi="Microsoft Sans Serif" w:cs="Microsoft Sans Serif"/>
          <w:b/>
          <w:bCs/>
          <w:sz w:val="20"/>
          <w:szCs w:val="20"/>
        </w:rPr>
        <w:t>Rok</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upotrebe</w:t>
      </w:r>
    </w:p>
    <w:p w14:paraId="1475BA3E">
      <w:pPr>
        <w:autoSpaceDE w:val="0"/>
        <w:autoSpaceDN w:val="0"/>
        <w:adjustRightInd w:val="0"/>
        <w:rPr>
          <w:rFonts w:ascii="Microsoft Sans Serif" w:hAnsi="Microsoft Sans Serif" w:cs="Microsoft Sans Serif"/>
          <w:sz w:val="20"/>
          <w:szCs w:val="20"/>
          <w:lang w:val="sr-Cyrl-RS"/>
        </w:rPr>
      </w:pPr>
    </w:p>
    <w:p w14:paraId="03768D0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godine.</w:t>
      </w:r>
    </w:p>
    <w:p w14:paraId="760C3258">
      <w:pPr>
        <w:rPr>
          <w:rFonts w:ascii="Microsoft Sans Serif" w:hAnsi="Microsoft Sans Serif" w:cs="Microsoft Sans Serif"/>
          <w:sz w:val="20"/>
          <w:szCs w:val="20"/>
          <w:lang w:val="sr-Cyrl-RS"/>
        </w:rPr>
      </w:pPr>
    </w:p>
    <w:p w14:paraId="4CF44D6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6.4.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č</w:t>
      </w:r>
      <w:r>
        <w:rPr>
          <w:rFonts w:ascii="Microsoft Sans Serif" w:hAnsi="Microsoft Sans Serif" w:cs="Microsoft Sans Serif"/>
          <w:b/>
          <w:bCs/>
          <w:sz w:val="20"/>
          <w:szCs w:val="20"/>
          <w:lang w:val="ru-RU"/>
        </w:rPr>
        <w:t>uvanju</w:t>
      </w:r>
    </w:p>
    <w:p w14:paraId="534A01D1">
      <w:pPr>
        <w:rPr>
          <w:rFonts w:ascii="Microsoft Sans Serif" w:hAnsi="Microsoft Sans Serif" w:cs="Microsoft Sans Serif"/>
          <w:sz w:val="20"/>
          <w:szCs w:val="20"/>
          <w:lang w:val="sr-Cyrl-RS"/>
        </w:rPr>
      </w:pPr>
    </w:p>
    <w:p w14:paraId="52BF92B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treba čuvati na temperaturi do 30⁰.</w:t>
      </w:r>
    </w:p>
    <w:p w14:paraId="19123FA6">
      <w:pPr>
        <w:rPr>
          <w:rFonts w:ascii="Microsoft Sans Serif" w:hAnsi="Microsoft Sans Serif" w:cs="Microsoft Sans Serif"/>
          <w:sz w:val="20"/>
          <w:szCs w:val="20"/>
          <w:lang w:val="sr-Cyrl-RS"/>
        </w:rPr>
      </w:pPr>
    </w:p>
    <w:p w14:paraId="1A6CA883">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lang w:val="sr-Cyrl-RS"/>
        </w:rPr>
        <w:t xml:space="preserve"> </w:t>
      </w:r>
    </w:p>
    <w:p w14:paraId="5589733E">
      <w:pPr>
        <w:rPr>
          <w:rFonts w:ascii="Microsoft Sans Serif" w:hAnsi="Microsoft Sans Serif" w:cs="Microsoft Sans Serif"/>
          <w:bCs/>
          <w:sz w:val="20"/>
          <w:szCs w:val="20"/>
          <w:u w:val="single"/>
          <w:lang w:val="mk-MK"/>
        </w:rPr>
      </w:pPr>
    </w:p>
    <w:p w14:paraId="15170092">
      <w:pPr>
        <w:rPr>
          <w:rFonts w:ascii="Microsoft Sans Serif" w:hAnsi="Microsoft Sans Serif" w:cs="Microsoft Sans Serif"/>
          <w:bCs/>
          <w:sz w:val="20"/>
          <w:szCs w:val="20"/>
          <w:lang w:val="sv-SE"/>
        </w:rPr>
      </w:pPr>
      <w:r>
        <w:rPr>
          <w:rFonts w:ascii="Microsoft Sans Serif" w:hAnsi="Microsoft Sans Serif" w:cs="Microsoft Sans Serif"/>
          <w:bCs/>
          <w:sz w:val="20"/>
          <w:szCs w:val="20"/>
          <w:u w:val="single"/>
          <w:lang w:val="sr-Cyrl-CS"/>
        </w:rPr>
        <w:t>Unutrašnje pakovanje:</w:t>
      </w:r>
      <w:r>
        <w:rPr>
          <w:rFonts w:ascii="Microsoft Sans Serif" w:hAnsi="Microsoft Sans Serif" w:cs="Microsoft Sans Serif"/>
          <w:bCs/>
          <w:sz w:val="20"/>
          <w:szCs w:val="20"/>
          <w:lang w:val="sr-Cyrl-CS"/>
        </w:rPr>
        <w:t xml:space="preserve"> </w:t>
      </w:r>
      <w:r>
        <w:rPr>
          <w:rFonts w:ascii="Microsoft Sans Serif" w:hAnsi="Microsoft Sans Serif" w:cs="Microsoft Sans Serif"/>
          <w:bCs/>
          <w:sz w:val="20"/>
          <w:szCs w:val="20"/>
          <w:lang w:val="mk-MK"/>
        </w:rPr>
        <w:t>Blister od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CS"/>
        </w:rPr>
        <w:t xml:space="preserve">ele </w:t>
      </w:r>
      <w:r>
        <w:rPr>
          <w:rFonts w:ascii="Microsoft Sans Serif" w:hAnsi="Microsoft Sans Serif" w:cs="Microsoft Sans Serif"/>
          <w:sz w:val="20"/>
          <w:szCs w:val="20"/>
          <w:lang w:val="mk-MK"/>
        </w:rPr>
        <w:t>PVC/PVDC</w:t>
      </w:r>
      <w:r>
        <w:rPr>
          <w:rFonts w:ascii="Microsoft Sans Serif" w:hAnsi="Microsoft Sans Serif" w:cs="Microsoft Sans Serif"/>
          <w:sz w:val="20"/>
          <w:szCs w:val="20"/>
          <w:lang w:val="sr-Cyrl-RS"/>
        </w:rPr>
        <w:t>/aluminijumske čvrste folije. Svaki blister sadrži 10 film tableta</w:t>
      </w:r>
      <w:r>
        <w:rPr>
          <w:rFonts w:ascii="Microsoft Sans Serif" w:hAnsi="Microsoft Sans Serif" w:cs="Microsoft Sans Serif"/>
          <w:sz w:val="20"/>
          <w:szCs w:val="20"/>
          <w:lang w:val="sv-SE"/>
        </w:rPr>
        <w:t>.</w:t>
      </w:r>
    </w:p>
    <w:p w14:paraId="2E7D9BDC">
      <w:pPr>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r-Cyrl-CS"/>
        </w:rPr>
        <w:t>Spolјašnje pakovanje</w:t>
      </w:r>
      <w:r>
        <w:rPr>
          <w:rFonts w:ascii="Microsoft Sans Serif" w:hAnsi="Microsoft Sans Serif" w:cs="Microsoft Sans Serif"/>
          <w:sz w:val="20"/>
          <w:szCs w:val="20"/>
          <w:lang w:val="sr-Cyrl-CS"/>
        </w:rPr>
        <w:t>: Složiva kartonska kutija u kojoj se nalazi 10 film tableta (</w:t>
      </w:r>
      <w:r>
        <w:rPr>
          <w:rFonts w:ascii="Microsoft Sans Serif" w:hAnsi="Microsoft Sans Serif" w:cs="Microsoft Sans Serif"/>
          <w:sz w:val="20"/>
          <w:szCs w:val="20"/>
          <w:lang w:val="sv-SE"/>
        </w:rPr>
        <w:t>1</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ili 20 film tableta (2 blistera)</w:t>
      </w:r>
      <w:r>
        <w:rPr>
          <w:rFonts w:ascii="Microsoft Sans Serif" w:hAnsi="Microsoft Sans Serif" w:cs="Microsoft Sans Serif"/>
          <w:sz w:val="20"/>
          <w:szCs w:val="20"/>
          <w:lang w:val="sr-Cyrl-CS"/>
        </w:rPr>
        <w:t xml:space="preserve"> i Uputstvo</w:t>
      </w:r>
      <w:r>
        <w:rPr>
          <w:rFonts w:ascii="Microsoft Sans Serif" w:hAnsi="Microsoft Sans Serif" w:cs="Microsoft Sans Serif"/>
          <w:bCs/>
          <w:sz w:val="20"/>
          <w:szCs w:val="20"/>
          <w:lang w:val="sr-Cyrl-CS"/>
        </w:rPr>
        <w:t xml:space="preserve"> za</w:t>
      </w:r>
      <w:r>
        <w:rPr>
          <w:rFonts w:ascii="Microsoft Sans Serif" w:hAnsi="Microsoft Sans Serif" w:cs="Microsoft Sans Serif"/>
          <w:bCs/>
          <w:sz w:val="20"/>
          <w:szCs w:val="20"/>
          <w:lang w:val="sr-Latn-RS"/>
        </w:rPr>
        <w:t xml:space="preserve"> pacijenta</w:t>
      </w:r>
      <w:r>
        <w:rPr>
          <w:rFonts w:ascii="Microsoft Sans Serif" w:hAnsi="Microsoft Sans Serif" w:cs="Microsoft Sans Serif"/>
          <w:bCs/>
          <w:sz w:val="20"/>
          <w:szCs w:val="20"/>
          <w:lang w:val="sv-SE"/>
        </w:rPr>
        <w:t>.</w:t>
      </w:r>
      <w:r>
        <w:rPr>
          <w:rFonts w:ascii="Microsoft Sans Serif" w:hAnsi="Microsoft Sans Serif" w:cs="Microsoft Sans Serif"/>
          <w:sz w:val="20"/>
          <w:szCs w:val="20"/>
          <w:lang w:val="sv-SE"/>
        </w:rPr>
        <w:t xml:space="preserve"> </w:t>
      </w:r>
    </w:p>
    <w:p w14:paraId="23D110F4">
      <w:pPr>
        <w:rPr>
          <w:rFonts w:ascii="Microsoft Sans Serif" w:hAnsi="Microsoft Sans Serif" w:cs="Microsoft Sans Serif"/>
          <w:sz w:val="20"/>
          <w:szCs w:val="20"/>
          <w:lang w:val="sv-SE"/>
        </w:rPr>
      </w:pPr>
    </w:p>
    <w:p w14:paraId="268425CD">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6.6.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odlaganju materijala koji treba odbaciti nakon prim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ene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 xml:space="preserve">eka </w:t>
      </w:r>
      <w:r>
        <w:rPr>
          <w:rFonts w:ascii="Microsoft Sans Serif" w:hAnsi="Microsoft Sans Serif" w:cs="Microsoft Sans Serif"/>
          <w:b/>
          <w:bCs/>
          <w:sz w:val="20"/>
          <w:szCs w:val="20"/>
          <w:lang w:val="sr-Latn-CS"/>
        </w:rPr>
        <w:t>(i druga uputstva za rukovanje lijekom)</w:t>
      </w:r>
    </w:p>
    <w:p w14:paraId="36AAF60D">
      <w:pPr>
        <w:rPr>
          <w:rFonts w:ascii="Microsoft Sans Serif" w:hAnsi="Microsoft Sans Serif" w:cs="Microsoft Sans Serif"/>
          <w:sz w:val="20"/>
          <w:szCs w:val="20"/>
          <w:lang w:val="sv-SE"/>
        </w:rPr>
      </w:pPr>
    </w:p>
    <w:p w14:paraId="57AE1CA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Nema posebnih zahteva.</w:t>
      </w:r>
    </w:p>
    <w:p w14:paraId="4D8D000A">
      <w:pPr>
        <w:rPr>
          <w:rFonts w:ascii="Microsoft Sans Serif" w:hAnsi="Microsoft Sans Serif" w:cs="Microsoft Sans Serif"/>
          <w:color w:val="FF0000"/>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r>
        <w:rPr>
          <w:rFonts w:ascii="Microsoft Sans Serif" w:hAnsi="Microsoft Sans Serif" w:cs="Microsoft Sans Serif"/>
          <w:color w:val="FF0000"/>
          <w:sz w:val="20"/>
          <w:szCs w:val="20"/>
          <w:lang w:val="sr-Cyrl-CS"/>
        </w:rPr>
        <w:t>.</w:t>
      </w:r>
    </w:p>
    <w:p w14:paraId="35475846">
      <w:pPr>
        <w:rPr>
          <w:rFonts w:ascii="Microsoft Sans Serif" w:hAnsi="Microsoft Sans Serif" w:cs="Microsoft Sans Serif"/>
          <w:color w:val="FF0000"/>
          <w:sz w:val="20"/>
          <w:szCs w:val="20"/>
          <w:lang w:val="sr-Latn-RS"/>
        </w:rPr>
      </w:pPr>
    </w:p>
    <w:p w14:paraId="0D124AB4">
      <w:pPr>
        <w:numPr>
          <w:ilvl w:val="1"/>
          <w:numId w:val="6"/>
        </w:numPr>
        <w:tabs>
          <w:tab w:val="clear" w:pos="284"/>
        </w:tabs>
        <w:ind w:left="0" w:firstLine="0"/>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Režim izdavanja</w:t>
      </w:r>
    </w:p>
    <w:p w14:paraId="11C883A1">
      <w:pPr>
        <w:rPr>
          <w:rFonts w:ascii="Microsoft Sans Serif" w:hAnsi="Microsoft Sans Serif" w:cs="Microsoft Sans Serif"/>
          <w:sz w:val="20"/>
          <w:szCs w:val="20"/>
        </w:rPr>
      </w:pPr>
    </w:p>
    <w:p w14:paraId="546E7FB8">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se izdaje bez ljekarskog recepta.</w:t>
      </w:r>
    </w:p>
    <w:p w14:paraId="2E269395">
      <w:pPr>
        <w:rPr>
          <w:rFonts w:ascii="Microsoft Sans Serif" w:hAnsi="Microsoft Sans Serif" w:cs="Microsoft Sans Serif"/>
          <w:color w:val="FF0000"/>
          <w:sz w:val="20"/>
          <w:szCs w:val="20"/>
          <w:lang w:val="sr-Latn-RS"/>
        </w:rPr>
      </w:pPr>
    </w:p>
    <w:p w14:paraId="18F87786">
      <w:pPr>
        <w:rPr>
          <w:rFonts w:ascii="Microsoft Sans Serif" w:hAnsi="Microsoft Sans Serif" w:cs="Microsoft Sans Serif"/>
          <w:sz w:val="20"/>
          <w:szCs w:val="20"/>
          <w:lang w:val="sr-Cyrl-CS"/>
        </w:rPr>
      </w:pPr>
    </w:p>
    <w:p w14:paraId="0F0E1298">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PROIZVOĐAČ </w:t>
      </w:r>
    </w:p>
    <w:p w14:paraId="29EC0C90">
      <w:pPr>
        <w:rPr>
          <w:rFonts w:ascii="Microsoft Sans Serif" w:hAnsi="Microsoft Sans Serif" w:cs="Microsoft Sans Serif"/>
          <w:sz w:val="20"/>
          <w:szCs w:val="20"/>
          <w:lang w:val="sr-Latn-BA"/>
        </w:rPr>
      </w:pPr>
    </w:p>
    <w:p w14:paraId="5FAAC4C1">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54B152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1C77485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272017C4">
      <w:pPr>
        <w:rPr>
          <w:rFonts w:ascii="Microsoft Sans Serif" w:hAnsi="Microsoft Sans Serif" w:cs="Microsoft Sans Serif"/>
          <w:sz w:val="20"/>
          <w:szCs w:val="20"/>
          <w:lang w:val="hr-HR"/>
        </w:rPr>
      </w:pPr>
    </w:p>
    <w:p w14:paraId="153C76F9">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4BACEDD9">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442D6AE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1D6C292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9732D82">
      <w:pPr>
        <w:rPr>
          <w:rFonts w:ascii="Microsoft Sans Serif" w:hAnsi="Microsoft Sans Serif" w:cs="Microsoft Sans Serif"/>
          <w:sz w:val="20"/>
          <w:szCs w:val="20"/>
          <w:lang w:val="sr-Latn-BA"/>
        </w:rPr>
      </w:pPr>
    </w:p>
    <w:p w14:paraId="32A5AF7E">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194A3165">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4E55A125">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613DDC9">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03303D97">
      <w:pPr>
        <w:tabs>
          <w:tab w:val="left" w:pos="567"/>
        </w:tabs>
        <w:rPr>
          <w:rFonts w:ascii="Microsoft Sans Serif" w:hAnsi="Microsoft Sans Serif" w:cs="Microsoft Sans Serif"/>
          <w:sz w:val="20"/>
          <w:szCs w:val="20"/>
          <w:lang w:val="sr-Latn-BA"/>
        </w:rPr>
      </w:pPr>
    </w:p>
    <w:p w14:paraId="6CB78DF6">
      <w:pPr>
        <w:rPr>
          <w:rFonts w:ascii="Microsoft Sans Serif" w:hAnsi="Microsoft Sans Serif" w:cs="Microsoft Sans Serif"/>
          <w:sz w:val="20"/>
          <w:szCs w:val="20"/>
          <w:lang w:val="sv-SE"/>
        </w:rPr>
      </w:pPr>
    </w:p>
    <w:p w14:paraId="58CE1AD7">
      <w:pPr>
        <w:tabs>
          <w:tab w:val="clear" w:pos="284"/>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 BROJ I DATUM DOZVOLE ZA STAVLJANJE GOTOVOG LIJEKA U PROMET</w:t>
      </w:r>
    </w:p>
    <w:p w14:paraId="75E8A06A">
      <w:pPr>
        <w:tabs>
          <w:tab w:val="clear" w:pos="284"/>
        </w:tabs>
        <w:rPr>
          <w:rFonts w:ascii="Microsoft Sans Serif" w:hAnsi="Microsoft Sans Serif" w:cs="Microsoft Sans Serif"/>
          <w:b/>
          <w:sz w:val="20"/>
          <w:szCs w:val="20"/>
          <w:lang w:val="sr-Latn-BA"/>
        </w:rPr>
      </w:pPr>
    </w:p>
    <w:p w14:paraId="5142F00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BlokMAX Duo,  200 mg + 500 mg, film tableta, 10 film tableta: 04-07.3-1-12414/19 od 24.06.2021</w:t>
      </w:r>
    </w:p>
    <w:p w14:paraId="785EFB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BlokMAX Duo, 200 mg + 500 mg, film tableta, 20 film tableta: 04-07.3-1-12415/19 od 24.06.2021 </w:t>
      </w:r>
    </w:p>
    <w:p w14:paraId="6EE0FE7B">
      <w:pPr>
        <w:tabs>
          <w:tab w:val="clear" w:pos="284"/>
        </w:tabs>
        <w:rPr>
          <w:rFonts w:ascii="Microsoft Sans Serif" w:hAnsi="Microsoft Sans Serif" w:cs="Microsoft Sans Serif"/>
          <w:sz w:val="20"/>
          <w:szCs w:val="20"/>
          <w:lang w:val="sv-SE"/>
        </w:rPr>
      </w:pPr>
    </w:p>
    <w:p w14:paraId="488FAC32">
      <w:pPr>
        <w:rPr>
          <w:rFonts w:ascii="Microsoft Sans Serif" w:hAnsi="Microsoft Sans Serif" w:cs="Microsoft Sans Serif"/>
          <w:b/>
          <w:sz w:val="20"/>
          <w:szCs w:val="20"/>
          <w:lang w:val="mk-MK"/>
        </w:rPr>
      </w:pPr>
    </w:p>
    <w:p w14:paraId="4ACDC93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9. DATUM REVIZIJE SAŽETKA KARAKTERISTIKA LIJEKA</w:t>
      </w:r>
    </w:p>
    <w:p w14:paraId="53AD0EA8">
      <w:pPr>
        <w:rPr>
          <w:rFonts w:ascii="Microsoft Sans Serif" w:hAnsi="Microsoft Sans Serif" w:cs="Microsoft Sans Serif"/>
          <w:bCs/>
          <w:sz w:val="20"/>
          <w:szCs w:val="20"/>
          <w:lang w:val="sv-SE"/>
        </w:rPr>
      </w:pPr>
    </w:p>
    <w:p w14:paraId="31182E68">
      <w:pPr>
        <w:widowControl w:val="0"/>
        <w:autoSpaceDE w:val="0"/>
        <w:autoSpaceDN w:val="0"/>
        <w:rPr>
          <w:rFonts w:ascii="Microsoft Sans Serif" w:hAnsi="Microsoft Sans Serif" w:cs="Microsoft Sans Serif"/>
          <w:bCs/>
          <w:sz w:val="20"/>
          <w:szCs w:val="20"/>
          <w:lang w:val="sv-SE"/>
        </w:rPr>
      </w:pPr>
      <w:r>
        <w:rPr>
          <w:rFonts w:ascii="Microsoft Sans Serif" w:hAnsi="Microsoft Sans Serif" w:cs="Microsoft Sans Serif"/>
          <w:iCs/>
          <w:sz w:val="20"/>
          <w:szCs w:val="20"/>
          <w:lang w:val="sr-Latn-RS"/>
        </w:rPr>
        <w:t>Avgust, 2023.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DF51">
    <w:pPr>
      <w:pStyle w:val="13"/>
      <w:tabs>
        <w:tab w:val="left" w:pos="784"/>
        <w:tab w:val="center" w:pos="4819"/>
        <w:tab w:val="left" w:pos="5448"/>
      </w:tabs>
      <w:spacing w:before="360"/>
      <w:jc w:val="left"/>
    </w:pPr>
    <w:r>
      <w:tab/>
    </w:r>
    <w:r>
      <w:tab/>
    </w:r>
    <w:r>
      <w:tab/>
    </w: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12</w:t>
            </w:r>
            <w:r>
              <w:rPr>
                <w:sz w:val="18"/>
                <w:szCs w:val="18"/>
              </w:rPr>
              <w:fldChar w:fldCharType="end"/>
            </w:r>
          </w:sdtContent>
        </w:sdt>
      </w:sdtContent>
    </w:sdt>
  </w:p>
  <w:p w14:paraId="2BDD1CA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D0AFC">
    <w:pPr>
      <w:pStyle w:val="13"/>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2F5B380B">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33FE9"/>
    <w:multiLevelType w:val="multilevel"/>
    <w:tmpl w:val="01233FE9"/>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9E504C"/>
    <w:multiLevelType w:val="multilevel"/>
    <w:tmpl w:val="309E504C"/>
    <w:lvl w:ilvl="0" w:tentative="0">
      <w:start w:val="6"/>
      <w:numFmt w:val="decimal"/>
      <w:lvlText w:val="%1."/>
      <w:lvlJc w:val="left"/>
      <w:pPr>
        <w:ind w:left="390" w:hanging="390"/>
      </w:pPr>
      <w:rPr>
        <w:rFonts w:hint="default"/>
      </w:rPr>
    </w:lvl>
    <w:lvl w:ilvl="1" w:tentative="0">
      <w:start w:val="7"/>
      <w:numFmt w:val="decimal"/>
      <w:lvlText w:val="%1.%2."/>
      <w:lvlJc w:val="left"/>
      <w:pPr>
        <w:ind w:left="75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37921B76"/>
    <w:multiLevelType w:val="multilevel"/>
    <w:tmpl w:val="37921B76"/>
    <w:lvl w:ilvl="0" w:tentative="0">
      <w:start w:val="1"/>
      <w:numFmt w:val="bullet"/>
      <w:lvlText w:val=""/>
      <w:lvlJc w:val="left"/>
      <w:pPr>
        <w:ind w:left="720" w:hanging="360"/>
      </w:pPr>
      <w:rPr>
        <w:rFonts w:hint="default" w:ascii="Symbol" w:hAnsi="Symbol"/>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9007978"/>
    <w:multiLevelType w:val="multilevel"/>
    <w:tmpl w:val="39007978"/>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D527FA0"/>
    <w:multiLevelType w:val="multilevel"/>
    <w:tmpl w:val="4D527FA0"/>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287D"/>
    <w:rsid w:val="00007F29"/>
    <w:rsid w:val="000100F9"/>
    <w:rsid w:val="00011DD4"/>
    <w:rsid w:val="00015355"/>
    <w:rsid w:val="00017801"/>
    <w:rsid w:val="00037822"/>
    <w:rsid w:val="00043D6F"/>
    <w:rsid w:val="000441A7"/>
    <w:rsid w:val="00044D80"/>
    <w:rsid w:val="00051F2C"/>
    <w:rsid w:val="00052EE5"/>
    <w:rsid w:val="000549F2"/>
    <w:rsid w:val="0005616F"/>
    <w:rsid w:val="00064273"/>
    <w:rsid w:val="00066B9B"/>
    <w:rsid w:val="00071190"/>
    <w:rsid w:val="000711D9"/>
    <w:rsid w:val="00080788"/>
    <w:rsid w:val="00083509"/>
    <w:rsid w:val="00083BE0"/>
    <w:rsid w:val="00086BA6"/>
    <w:rsid w:val="00092261"/>
    <w:rsid w:val="00092597"/>
    <w:rsid w:val="00092BF9"/>
    <w:rsid w:val="00094B67"/>
    <w:rsid w:val="00095FB6"/>
    <w:rsid w:val="0009758B"/>
    <w:rsid w:val="000A0F4A"/>
    <w:rsid w:val="000A609C"/>
    <w:rsid w:val="000A6396"/>
    <w:rsid w:val="000B5A9C"/>
    <w:rsid w:val="000B7682"/>
    <w:rsid w:val="000C4DDA"/>
    <w:rsid w:val="000C7658"/>
    <w:rsid w:val="000C7A72"/>
    <w:rsid w:val="000D5631"/>
    <w:rsid w:val="000D5F35"/>
    <w:rsid w:val="000D7B07"/>
    <w:rsid w:val="000E75C0"/>
    <w:rsid w:val="000F1940"/>
    <w:rsid w:val="000F510C"/>
    <w:rsid w:val="00106B33"/>
    <w:rsid w:val="00107430"/>
    <w:rsid w:val="00110449"/>
    <w:rsid w:val="0011444C"/>
    <w:rsid w:val="00115375"/>
    <w:rsid w:val="00121AA9"/>
    <w:rsid w:val="00122645"/>
    <w:rsid w:val="00123FEB"/>
    <w:rsid w:val="00125798"/>
    <w:rsid w:val="00141507"/>
    <w:rsid w:val="00141639"/>
    <w:rsid w:val="0014180A"/>
    <w:rsid w:val="001548CA"/>
    <w:rsid w:val="001606B4"/>
    <w:rsid w:val="001612C3"/>
    <w:rsid w:val="00165B6C"/>
    <w:rsid w:val="001706EB"/>
    <w:rsid w:val="00173D18"/>
    <w:rsid w:val="00175772"/>
    <w:rsid w:val="00175A7E"/>
    <w:rsid w:val="001761E2"/>
    <w:rsid w:val="00186074"/>
    <w:rsid w:val="001A120C"/>
    <w:rsid w:val="001A75C1"/>
    <w:rsid w:val="001A798E"/>
    <w:rsid w:val="001B44CA"/>
    <w:rsid w:val="001B706A"/>
    <w:rsid w:val="001C0AFD"/>
    <w:rsid w:val="001D10C9"/>
    <w:rsid w:val="001D38FB"/>
    <w:rsid w:val="001D3EB3"/>
    <w:rsid w:val="001D5947"/>
    <w:rsid w:val="001D7D35"/>
    <w:rsid w:val="001E0A07"/>
    <w:rsid w:val="001E3E38"/>
    <w:rsid w:val="001E522B"/>
    <w:rsid w:val="001E6145"/>
    <w:rsid w:val="001E6582"/>
    <w:rsid w:val="001F22DF"/>
    <w:rsid w:val="001F2D4E"/>
    <w:rsid w:val="001F2D5F"/>
    <w:rsid w:val="001F39B6"/>
    <w:rsid w:val="001F3BDF"/>
    <w:rsid w:val="001F4BFA"/>
    <w:rsid w:val="002017A3"/>
    <w:rsid w:val="00201FB5"/>
    <w:rsid w:val="00202BE3"/>
    <w:rsid w:val="002036F4"/>
    <w:rsid w:val="002044C9"/>
    <w:rsid w:val="0021086F"/>
    <w:rsid w:val="00212FBD"/>
    <w:rsid w:val="00216A7D"/>
    <w:rsid w:val="0022218E"/>
    <w:rsid w:val="0022223A"/>
    <w:rsid w:val="002224F2"/>
    <w:rsid w:val="00240271"/>
    <w:rsid w:val="0024132F"/>
    <w:rsid w:val="00242DCD"/>
    <w:rsid w:val="00247C5C"/>
    <w:rsid w:val="0025185E"/>
    <w:rsid w:val="00263384"/>
    <w:rsid w:val="0026657D"/>
    <w:rsid w:val="0027043D"/>
    <w:rsid w:val="00273BE0"/>
    <w:rsid w:val="00273D8F"/>
    <w:rsid w:val="0029429B"/>
    <w:rsid w:val="00296AC7"/>
    <w:rsid w:val="002B176A"/>
    <w:rsid w:val="002B295A"/>
    <w:rsid w:val="002B427B"/>
    <w:rsid w:val="002B6F6A"/>
    <w:rsid w:val="002B7DC6"/>
    <w:rsid w:val="002C0FBF"/>
    <w:rsid w:val="002C3244"/>
    <w:rsid w:val="002C4971"/>
    <w:rsid w:val="002C7251"/>
    <w:rsid w:val="002D528A"/>
    <w:rsid w:val="002E03F7"/>
    <w:rsid w:val="002E0D54"/>
    <w:rsid w:val="002F21FB"/>
    <w:rsid w:val="002F5E2F"/>
    <w:rsid w:val="00300C99"/>
    <w:rsid w:val="003020E3"/>
    <w:rsid w:val="00311E31"/>
    <w:rsid w:val="00316FC0"/>
    <w:rsid w:val="003213B1"/>
    <w:rsid w:val="003222BE"/>
    <w:rsid w:val="00326336"/>
    <w:rsid w:val="00330E4F"/>
    <w:rsid w:val="00335D06"/>
    <w:rsid w:val="003377F1"/>
    <w:rsid w:val="003452C0"/>
    <w:rsid w:val="0034541A"/>
    <w:rsid w:val="003475CA"/>
    <w:rsid w:val="00356B96"/>
    <w:rsid w:val="00360F13"/>
    <w:rsid w:val="003660F7"/>
    <w:rsid w:val="0037087D"/>
    <w:rsid w:val="00383195"/>
    <w:rsid w:val="00391E9C"/>
    <w:rsid w:val="00392D84"/>
    <w:rsid w:val="0039304D"/>
    <w:rsid w:val="00396190"/>
    <w:rsid w:val="00396D5C"/>
    <w:rsid w:val="00397392"/>
    <w:rsid w:val="0039770D"/>
    <w:rsid w:val="003A1D5B"/>
    <w:rsid w:val="003A2DF8"/>
    <w:rsid w:val="003B0B33"/>
    <w:rsid w:val="003B2082"/>
    <w:rsid w:val="003B2992"/>
    <w:rsid w:val="003C16AC"/>
    <w:rsid w:val="003C18A4"/>
    <w:rsid w:val="003C3D9A"/>
    <w:rsid w:val="003C4E75"/>
    <w:rsid w:val="003C52BE"/>
    <w:rsid w:val="003E3EC7"/>
    <w:rsid w:val="003F27DA"/>
    <w:rsid w:val="0040251F"/>
    <w:rsid w:val="0040344B"/>
    <w:rsid w:val="004123CD"/>
    <w:rsid w:val="00417CAB"/>
    <w:rsid w:val="004234ED"/>
    <w:rsid w:val="00427527"/>
    <w:rsid w:val="00427D41"/>
    <w:rsid w:val="00457A7C"/>
    <w:rsid w:val="00460648"/>
    <w:rsid w:val="00462C33"/>
    <w:rsid w:val="00462D34"/>
    <w:rsid w:val="0047151E"/>
    <w:rsid w:val="00481F8E"/>
    <w:rsid w:val="00483A0D"/>
    <w:rsid w:val="00487FC0"/>
    <w:rsid w:val="00492248"/>
    <w:rsid w:val="00494A26"/>
    <w:rsid w:val="00494EC1"/>
    <w:rsid w:val="004956C8"/>
    <w:rsid w:val="004970FC"/>
    <w:rsid w:val="00497648"/>
    <w:rsid w:val="004A64F6"/>
    <w:rsid w:val="004B114F"/>
    <w:rsid w:val="004B2022"/>
    <w:rsid w:val="004B5A11"/>
    <w:rsid w:val="004B62FF"/>
    <w:rsid w:val="004B6807"/>
    <w:rsid w:val="004B7A50"/>
    <w:rsid w:val="004C3DE8"/>
    <w:rsid w:val="004C3E8F"/>
    <w:rsid w:val="004C5744"/>
    <w:rsid w:val="004D04EF"/>
    <w:rsid w:val="004D09F4"/>
    <w:rsid w:val="004D230F"/>
    <w:rsid w:val="004D36A4"/>
    <w:rsid w:val="004E09EE"/>
    <w:rsid w:val="004E4D1B"/>
    <w:rsid w:val="004E64DD"/>
    <w:rsid w:val="004F1CCD"/>
    <w:rsid w:val="004F4A14"/>
    <w:rsid w:val="004F4BC6"/>
    <w:rsid w:val="005025FD"/>
    <w:rsid w:val="00503974"/>
    <w:rsid w:val="0050400C"/>
    <w:rsid w:val="00507446"/>
    <w:rsid w:val="00511EC9"/>
    <w:rsid w:val="00515438"/>
    <w:rsid w:val="0052230B"/>
    <w:rsid w:val="00525A8A"/>
    <w:rsid w:val="005276F0"/>
    <w:rsid w:val="00530909"/>
    <w:rsid w:val="005339AC"/>
    <w:rsid w:val="00535A3B"/>
    <w:rsid w:val="00537B28"/>
    <w:rsid w:val="00567356"/>
    <w:rsid w:val="0057135D"/>
    <w:rsid w:val="005759D1"/>
    <w:rsid w:val="00587AA4"/>
    <w:rsid w:val="00590962"/>
    <w:rsid w:val="00590C24"/>
    <w:rsid w:val="005933F3"/>
    <w:rsid w:val="00594767"/>
    <w:rsid w:val="005A0676"/>
    <w:rsid w:val="005B1315"/>
    <w:rsid w:val="005B3388"/>
    <w:rsid w:val="005C24A5"/>
    <w:rsid w:val="005C3F73"/>
    <w:rsid w:val="005C6318"/>
    <w:rsid w:val="005C7891"/>
    <w:rsid w:val="005D0328"/>
    <w:rsid w:val="005D1EEE"/>
    <w:rsid w:val="005E379A"/>
    <w:rsid w:val="005E60A4"/>
    <w:rsid w:val="005F2A01"/>
    <w:rsid w:val="005F54F3"/>
    <w:rsid w:val="00603302"/>
    <w:rsid w:val="00604E4F"/>
    <w:rsid w:val="006052AF"/>
    <w:rsid w:val="006054EE"/>
    <w:rsid w:val="00607681"/>
    <w:rsid w:val="006103DF"/>
    <w:rsid w:val="006118B6"/>
    <w:rsid w:val="00616B4B"/>
    <w:rsid w:val="0062214D"/>
    <w:rsid w:val="00624B48"/>
    <w:rsid w:val="006270C0"/>
    <w:rsid w:val="00630195"/>
    <w:rsid w:val="00630BBE"/>
    <w:rsid w:val="0063306A"/>
    <w:rsid w:val="00634089"/>
    <w:rsid w:val="00636818"/>
    <w:rsid w:val="006378EC"/>
    <w:rsid w:val="00642939"/>
    <w:rsid w:val="00643181"/>
    <w:rsid w:val="006448CF"/>
    <w:rsid w:val="00652DDA"/>
    <w:rsid w:val="006559AF"/>
    <w:rsid w:val="00657A29"/>
    <w:rsid w:val="0066022C"/>
    <w:rsid w:val="0066077D"/>
    <w:rsid w:val="00674B43"/>
    <w:rsid w:val="00677C1E"/>
    <w:rsid w:val="00677FA6"/>
    <w:rsid w:val="00680994"/>
    <w:rsid w:val="00680D34"/>
    <w:rsid w:val="00682BDF"/>
    <w:rsid w:val="00687E02"/>
    <w:rsid w:val="00693874"/>
    <w:rsid w:val="00693F46"/>
    <w:rsid w:val="0069490F"/>
    <w:rsid w:val="006A03F7"/>
    <w:rsid w:val="006A40F1"/>
    <w:rsid w:val="006A47C6"/>
    <w:rsid w:val="006A58AB"/>
    <w:rsid w:val="006C329F"/>
    <w:rsid w:val="006C33F7"/>
    <w:rsid w:val="006D6DDE"/>
    <w:rsid w:val="006D7AF4"/>
    <w:rsid w:val="006D7D10"/>
    <w:rsid w:val="006E082A"/>
    <w:rsid w:val="006E4730"/>
    <w:rsid w:val="006F0235"/>
    <w:rsid w:val="006F1114"/>
    <w:rsid w:val="006F158F"/>
    <w:rsid w:val="006F2689"/>
    <w:rsid w:val="00701D43"/>
    <w:rsid w:val="0071296C"/>
    <w:rsid w:val="0071553A"/>
    <w:rsid w:val="007158D7"/>
    <w:rsid w:val="00715C4F"/>
    <w:rsid w:val="00720837"/>
    <w:rsid w:val="00720F05"/>
    <w:rsid w:val="00725488"/>
    <w:rsid w:val="0073122E"/>
    <w:rsid w:val="00735FA5"/>
    <w:rsid w:val="00737EAD"/>
    <w:rsid w:val="00740005"/>
    <w:rsid w:val="00742A1A"/>
    <w:rsid w:val="00742E83"/>
    <w:rsid w:val="00746429"/>
    <w:rsid w:val="00750C26"/>
    <w:rsid w:val="00754638"/>
    <w:rsid w:val="00762320"/>
    <w:rsid w:val="007624B0"/>
    <w:rsid w:val="007634B8"/>
    <w:rsid w:val="00764648"/>
    <w:rsid w:val="007647C2"/>
    <w:rsid w:val="00766790"/>
    <w:rsid w:val="007672F3"/>
    <w:rsid w:val="0077132F"/>
    <w:rsid w:val="007739BB"/>
    <w:rsid w:val="007773C2"/>
    <w:rsid w:val="0078032E"/>
    <w:rsid w:val="00780432"/>
    <w:rsid w:val="00780C60"/>
    <w:rsid w:val="00784D72"/>
    <w:rsid w:val="00785208"/>
    <w:rsid w:val="0079304B"/>
    <w:rsid w:val="00795F70"/>
    <w:rsid w:val="00796C20"/>
    <w:rsid w:val="007A0931"/>
    <w:rsid w:val="007A2B88"/>
    <w:rsid w:val="007A359B"/>
    <w:rsid w:val="007B16C4"/>
    <w:rsid w:val="007B470C"/>
    <w:rsid w:val="007B5DCF"/>
    <w:rsid w:val="007B69AB"/>
    <w:rsid w:val="007C2D7E"/>
    <w:rsid w:val="007D17FD"/>
    <w:rsid w:val="007D38D0"/>
    <w:rsid w:val="007D48C5"/>
    <w:rsid w:val="007D73DA"/>
    <w:rsid w:val="007E06F0"/>
    <w:rsid w:val="007E1AB9"/>
    <w:rsid w:val="007E2816"/>
    <w:rsid w:val="007E5743"/>
    <w:rsid w:val="007F44B8"/>
    <w:rsid w:val="007F5494"/>
    <w:rsid w:val="007F5C7B"/>
    <w:rsid w:val="0080131A"/>
    <w:rsid w:val="00802DFC"/>
    <w:rsid w:val="00803EE4"/>
    <w:rsid w:val="00807DE0"/>
    <w:rsid w:val="00813760"/>
    <w:rsid w:val="00814781"/>
    <w:rsid w:val="00816DDD"/>
    <w:rsid w:val="00834DBB"/>
    <w:rsid w:val="00841F88"/>
    <w:rsid w:val="00842FFB"/>
    <w:rsid w:val="0084505E"/>
    <w:rsid w:val="0084665F"/>
    <w:rsid w:val="00851E0E"/>
    <w:rsid w:val="0085293A"/>
    <w:rsid w:val="0086351A"/>
    <w:rsid w:val="0086396E"/>
    <w:rsid w:val="00870BA4"/>
    <w:rsid w:val="00874AFE"/>
    <w:rsid w:val="00874B61"/>
    <w:rsid w:val="008755C1"/>
    <w:rsid w:val="0087645D"/>
    <w:rsid w:val="0087705A"/>
    <w:rsid w:val="00886F80"/>
    <w:rsid w:val="00887C9E"/>
    <w:rsid w:val="00893DBA"/>
    <w:rsid w:val="008A0802"/>
    <w:rsid w:val="008A48B7"/>
    <w:rsid w:val="008B2A92"/>
    <w:rsid w:val="008B3EB5"/>
    <w:rsid w:val="008C2C2C"/>
    <w:rsid w:val="008C5809"/>
    <w:rsid w:val="008D78C9"/>
    <w:rsid w:val="008E0FC9"/>
    <w:rsid w:val="008E22A3"/>
    <w:rsid w:val="008F34F5"/>
    <w:rsid w:val="009002DD"/>
    <w:rsid w:val="00903E8F"/>
    <w:rsid w:val="00907689"/>
    <w:rsid w:val="00913684"/>
    <w:rsid w:val="00913C87"/>
    <w:rsid w:val="009140A1"/>
    <w:rsid w:val="0092105F"/>
    <w:rsid w:val="009230CB"/>
    <w:rsid w:val="00923865"/>
    <w:rsid w:val="0093016E"/>
    <w:rsid w:val="00932E27"/>
    <w:rsid w:val="00934B4D"/>
    <w:rsid w:val="009359DE"/>
    <w:rsid w:val="00937D29"/>
    <w:rsid w:val="00946816"/>
    <w:rsid w:val="009544CE"/>
    <w:rsid w:val="00955C75"/>
    <w:rsid w:val="0096744C"/>
    <w:rsid w:val="009677DF"/>
    <w:rsid w:val="0097520C"/>
    <w:rsid w:val="009760AE"/>
    <w:rsid w:val="00981A50"/>
    <w:rsid w:val="00993C2C"/>
    <w:rsid w:val="009946F8"/>
    <w:rsid w:val="00996E6B"/>
    <w:rsid w:val="009A0047"/>
    <w:rsid w:val="009A1D64"/>
    <w:rsid w:val="009A26F5"/>
    <w:rsid w:val="009B1292"/>
    <w:rsid w:val="009B2430"/>
    <w:rsid w:val="009B338B"/>
    <w:rsid w:val="009B58AD"/>
    <w:rsid w:val="009B7935"/>
    <w:rsid w:val="009C2A8A"/>
    <w:rsid w:val="009C64D8"/>
    <w:rsid w:val="009C7BA2"/>
    <w:rsid w:val="009D1161"/>
    <w:rsid w:val="009D667B"/>
    <w:rsid w:val="009D6AED"/>
    <w:rsid w:val="009D7E81"/>
    <w:rsid w:val="009E2EFC"/>
    <w:rsid w:val="009E3847"/>
    <w:rsid w:val="009E6EB3"/>
    <w:rsid w:val="009F1DBB"/>
    <w:rsid w:val="009F235D"/>
    <w:rsid w:val="009F4449"/>
    <w:rsid w:val="00A0015E"/>
    <w:rsid w:val="00A002FF"/>
    <w:rsid w:val="00A02252"/>
    <w:rsid w:val="00A03DDA"/>
    <w:rsid w:val="00A06383"/>
    <w:rsid w:val="00A069F9"/>
    <w:rsid w:val="00A127F1"/>
    <w:rsid w:val="00A214C7"/>
    <w:rsid w:val="00A2267E"/>
    <w:rsid w:val="00A240D7"/>
    <w:rsid w:val="00A27130"/>
    <w:rsid w:val="00A311FD"/>
    <w:rsid w:val="00A40B97"/>
    <w:rsid w:val="00A61FB0"/>
    <w:rsid w:val="00A7114A"/>
    <w:rsid w:val="00A7147C"/>
    <w:rsid w:val="00A7660B"/>
    <w:rsid w:val="00A83F76"/>
    <w:rsid w:val="00A85F88"/>
    <w:rsid w:val="00A86897"/>
    <w:rsid w:val="00A93C08"/>
    <w:rsid w:val="00A94EE5"/>
    <w:rsid w:val="00A95733"/>
    <w:rsid w:val="00A95938"/>
    <w:rsid w:val="00AA543D"/>
    <w:rsid w:val="00AB0595"/>
    <w:rsid w:val="00AB223A"/>
    <w:rsid w:val="00AB5465"/>
    <w:rsid w:val="00AC5DC6"/>
    <w:rsid w:val="00AD052B"/>
    <w:rsid w:val="00AE779F"/>
    <w:rsid w:val="00B10141"/>
    <w:rsid w:val="00B11639"/>
    <w:rsid w:val="00B13346"/>
    <w:rsid w:val="00B13FAE"/>
    <w:rsid w:val="00B2160D"/>
    <w:rsid w:val="00B26FAC"/>
    <w:rsid w:val="00B31124"/>
    <w:rsid w:val="00B31AA2"/>
    <w:rsid w:val="00B322E6"/>
    <w:rsid w:val="00B44395"/>
    <w:rsid w:val="00B5291A"/>
    <w:rsid w:val="00B53902"/>
    <w:rsid w:val="00B54826"/>
    <w:rsid w:val="00B55305"/>
    <w:rsid w:val="00B57380"/>
    <w:rsid w:val="00B62521"/>
    <w:rsid w:val="00B64CDD"/>
    <w:rsid w:val="00B700CD"/>
    <w:rsid w:val="00B74C0B"/>
    <w:rsid w:val="00B74CF8"/>
    <w:rsid w:val="00B774A0"/>
    <w:rsid w:val="00B805A4"/>
    <w:rsid w:val="00B8400D"/>
    <w:rsid w:val="00B86BBB"/>
    <w:rsid w:val="00B92C16"/>
    <w:rsid w:val="00B93A37"/>
    <w:rsid w:val="00B95B40"/>
    <w:rsid w:val="00B96CEC"/>
    <w:rsid w:val="00BA1819"/>
    <w:rsid w:val="00BA5A22"/>
    <w:rsid w:val="00BA6305"/>
    <w:rsid w:val="00BB55E5"/>
    <w:rsid w:val="00BC42DB"/>
    <w:rsid w:val="00BD5BE3"/>
    <w:rsid w:val="00BD725A"/>
    <w:rsid w:val="00BF365A"/>
    <w:rsid w:val="00BF3750"/>
    <w:rsid w:val="00C0151C"/>
    <w:rsid w:val="00C06244"/>
    <w:rsid w:val="00C12DBB"/>
    <w:rsid w:val="00C13EC2"/>
    <w:rsid w:val="00C1689C"/>
    <w:rsid w:val="00C273FE"/>
    <w:rsid w:val="00C366F6"/>
    <w:rsid w:val="00C36D12"/>
    <w:rsid w:val="00C464BF"/>
    <w:rsid w:val="00C473B0"/>
    <w:rsid w:val="00C536C2"/>
    <w:rsid w:val="00C545FB"/>
    <w:rsid w:val="00C55F47"/>
    <w:rsid w:val="00C56E2E"/>
    <w:rsid w:val="00C60674"/>
    <w:rsid w:val="00C609D6"/>
    <w:rsid w:val="00C60D26"/>
    <w:rsid w:val="00C64A31"/>
    <w:rsid w:val="00C65839"/>
    <w:rsid w:val="00C70688"/>
    <w:rsid w:val="00C734F9"/>
    <w:rsid w:val="00C741CE"/>
    <w:rsid w:val="00C77B12"/>
    <w:rsid w:val="00C809D3"/>
    <w:rsid w:val="00C82E8B"/>
    <w:rsid w:val="00C830CB"/>
    <w:rsid w:val="00C8411D"/>
    <w:rsid w:val="00C85C32"/>
    <w:rsid w:val="00C860A9"/>
    <w:rsid w:val="00C96900"/>
    <w:rsid w:val="00CA1FB9"/>
    <w:rsid w:val="00CA5758"/>
    <w:rsid w:val="00CA754D"/>
    <w:rsid w:val="00CC4631"/>
    <w:rsid w:val="00CC4C88"/>
    <w:rsid w:val="00CD0B1F"/>
    <w:rsid w:val="00CD391B"/>
    <w:rsid w:val="00CD3F96"/>
    <w:rsid w:val="00CD66E2"/>
    <w:rsid w:val="00CE09F3"/>
    <w:rsid w:val="00CE299F"/>
    <w:rsid w:val="00CE76DA"/>
    <w:rsid w:val="00CF24F7"/>
    <w:rsid w:val="00CF2CB5"/>
    <w:rsid w:val="00CF74F7"/>
    <w:rsid w:val="00D0045F"/>
    <w:rsid w:val="00D0649D"/>
    <w:rsid w:val="00D07CE7"/>
    <w:rsid w:val="00D111DA"/>
    <w:rsid w:val="00D11E94"/>
    <w:rsid w:val="00D138DB"/>
    <w:rsid w:val="00D16AA5"/>
    <w:rsid w:val="00D269C6"/>
    <w:rsid w:val="00D30389"/>
    <w:rsid w:val="00D330DE"/>
    <w:rsid w:val="00D337F6"/>
    <w:rsid w:val="00D35A67"/>
    <w:rsid w:val="00D35DEF"/>
    <w:rsid w:val="00D4508E"/>
    <w:rsid w:val="00D45091"/>
    <w:rsid w:val="00D46B11"/>
    <w:rsid w:val="00D52CDB"/>
    <w:rsid w:val="00D61710"/>
    <w:rsid w:val="00D6611E"/>
    <w:rsid w:val="00D71E34"/>
    <w:rsid w:val="00D7647D"/>
    <w:rsid w:val="00D770D3"/>
    <w:rsid w:val="00D83A5C"/>
    <w:rsid w:val="00D85F37"/>
    <w:rsid w:val="00D874EC"/>
    <w:rsid w:val="00D91957"/>
    <w:rsid w:val="00DA74CE"/>
    <w:rsid w:val="00DB4534"/>
    <w:rsid w:val="00DC09D9"/>
    <w:rsid w:val="00DD2A82"/>
    <w:rsid w:val="00DE0099"/>
    <w:rsid w:val="00DE332A"/>
    <w:rsid w:val="00DE4EA3"/>
    <w:rsid w:val="00DF1352"/>
    <w:rsid w:val="00DF28FE"/>
    <w:rsid w:val="00DF46E4"/>
    <w:rsid w:val="00E03027"/>
    <w:rsid w:val="00E04856"/>
    <w:rsid w:val="00E04A6E"/>
    <w:rsid w:val="00E1419B"/>
    <w:rsid w:val="00E504B4"/>
    <w:rsid w:val="00E50CD3"/>
    <w:rsid w:val="00E56089"/>
    <w:rsid w:val="00E5792C"/>
    <w:rsid w:val="00E700E7"/>
    <w:rsid w:val="00E71A27"/>
    <w:rsid w:val="00E72340"/>
    <w:rsid w:val="00E81C3F"/>
    <w:rsid w:val="00E86A43"/>
    <w:rsid w:val="00E876D1"/>
    <w:rsid w:val="00E87BE1"/>
    <w:rsid w:val="00EA00E3"/>
    <w:rsid w:val="00EA020F"/>
    <w:rsid w:val="00EA062A"/>
    <w:rsid w:val="00EA1926"/>
    <w:rsid w:val="00EA1F85"/>
    <w:rsid w:val="00EB14F7"/>
    <w:rsid w:val="00EB19C3"/>
    <w:rsid w:val="00EB3DD2"/>
    <w:rsid w:val="00EC2893"/>
    <w:rsid w:val="00EC61D0"/>
    <w:rsid w:val="00ED0226"/>
    <w:rsid w:val="00ED1941"/>
    <w:rsid w:val="00ED735F"/>
    <w:rsid w:val="00EE07A6"/>
    <w:rsid w:val="00EE18E7"/>
    <w:rsid w:val="00EE7C4A"/>
    <w:rsid w:val="00EF7CF8"/>
    <w:rsid w:val="00F0469C"/>
    <w:rsid w:val="00F07CC5"/>
    <w:rsid w:val="00F122BA"/>
    <w:rsid w:val="00F138F3"/>
    <w:rsid w:val="00F14A22"/>
    <w:rsid w:val="00F231DA"/>
    <w:rsid w:val="00F26AFF"/>
    <w:rsid w:val="00F31AA3"/>
    <w:rsid w:val="00F3203A"/>
    <w:rsid w:val="00F40495"/>
    <w:rsid w:val="00F40D4B"/>
    <w:rsid w:val="00F438C6"/>
    <w:rsid w:val="00F44873"/>
    <w:rsid w:val="00F44942"/>
    <w:rsid w:val="00F44E2E"/>
    <w:rsid w:val="00F466B1"/>
    <w:rsid w:val="00F510E0"/>
    <w:rsid w:val="00F52FF4"/>
    <w:rsid w:val="00F535DE"/>
    <w:rsid w:val="00F54E21"/>
    <w:rsid w:val="00F5775F"/>
    <w:rsid w:val="00F612C5"/>
    <w:rsid w:val="00F6296F"/>
    <w:rsid w:val="00F63F24"/>
    <w:rsid w:val="00F660B8"/>
    <w:rsid w:val="00F70D8F"/>
    <w:rsid w:val="00F7397B"/>
    <w:rsid w:val="00F75967"/>
    <w:rsid w:val="00F76711"/>
    <w:rsid w:val="00F81D24"/>
    <w:rsid w:val="00F86BFF"/>
    <w:rsid w:val="00F916CD"/>
    <w:rsid w:val="00F9397C"/>
    <w:rsid w:val="00F94914"/>
    <w:rsid w:val="00FA2346"/>
    <w:rsid w:val="00FA5F4C"/>
    <w:rsid w:val="00FA616F"/>
    <w:rsid w:val="00FB2641"/>
    <w:rsid w:val="00FD3875"/>
    <w:rsid w:val="00FD72D9"/>
    <w:rsid w:val="00FE0756"/>
    <w:rsid w:val="00FE5C62"/>
    <w:rsid w:val="00FE619A"/>
    <w:rsid w:val="00FF0D13"/>
    <w:rsid w:val="00FF64C6"/>
    <w:rsid w:val="00FF6A18"/>
    <w:rsid w:val="00FF711B"/>
    <w:rsid w:val="59810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character" w:styleId="9">
    <w:name w:val="annotation reference"/>
    <w:qFormat/>
    <w:uiPriority w:val="0"/>
    <w:rPr>
      <w:sz w:val="16"/>
      <w:szCs w:val="16"/>
    </w:rPr>
  </w:style>
  <w:style w:type="paragraph" w:styleId="10">
    <w:name w:val="annotation text"/>
    <w:basedOn w:val="1"/>
    <w:link w:val="27"/>
    <w:qFormat/>
    <w:uiPriority w:val="0"/>
    <w:rPr>
      <w:sz w:val="20"/>
      <w:szCs w:val="20"/>
    </w:rPr>
  </w:style>
  <w:style w:type="paragraph" w:styleId="11">
    <w:name w:val="annotation subject"/>
    <w:basedOn w:val="10"/>
    <w:next w:val="10"/>
    <w:semiHidden/>
    <w:qFormat/>
    <w:uiPriority w:val="0"/>
    <w:rPr>
      <w:b/>
      <w:bCs/>
    </w:rPr>
  </w:style>
  <w:style w:type="character" w:styleId="12">
    <w:name w:val="Emphasis"/>
    <w:basedOn w:val="6"/>
    <w:qFormat/>
    <w:uiPriority w:val="20"/>
    <w:rPr>
      <w:i/>
      <w:iCs/>
    </w:rPr>
  </w:style>
  <w:style w:type="paragraph" w:styleId="13">
    <w:name w:val="footer"/>
    <w:basedOn w:val="1"/>
    <w:link w:val="20"/>
    <w:qFormat/>
    <w:uiPriority w:val="99"/>
    <w:pPr>
      <w:tabs>
        <w:tab w:val="center" w:pos="4536"/>
        <w:tab w:val="right" w:pos="9072"/>
        <w:tab w:val="clear" w:pos="284"/>
      </w:tabs>
    </w:pPr>
  </w:style>
  <w:style w:type="paragraph" w:styleId="14">
    <w:name w:val="header"/>
    <w:basedOn w:val="1"/>
    <w:link w:val="24"/>
    <w:qFormat/>
    <w:uiPriority w:val="99"/>
    <w:pPr>
      <w:tabs>
        <w:tab w:val="center" w:pos="4536"/>
        <w:tab w:val="right" w:pos="9072"/>
        <w:tab w:val="clear" w:pos="284"/>
      </w:tabs>
    </w:pPr>
  </w:style>
  <w:style w:type="character" w:styleId="15">
    <w:name w:val="Hyperlink"/>
    <w:basedOn w:val="6"/>
    <w:qFormat/>
    <w:uiPriority w:val="0"/>
    <w:rPr>
      <w:color w:val="0000FF" w:themeColor="hyperlink"/>
      <w:u w:val="single"/>
      <w14:textFill>
        <w14:solidFill>
          <w14:schemeClr w14:val="hlink"/>
        </w14:solidFill>
      </w14:textFill>
    </w:rPr>
  </w:style>
  <w:style w:type="paragraph" w:styleId="16">
    <w:name w:val="Normal Indent"/>
    <w:basedOn w:val="1"/>
    <w:qFormat/>
    <w:uiPriority w:val="0"/>
    <w:pPr>
      <w:tabs>
        <w:tab w:val="clear" w:pos="284"/>
      </w:tabs>
      <w:spacing w:after="120"/>
      <w:ind w:left="720"/>
      <w:jc w:val="left"/>
    </w:pPr>
    <w:rPr>
      <w:szCs w:val="20"/>
      <w:lang w:val="en-GB" w:eastAsia="en-GB"/>
    </w:rPr>
  </w:style>
  <w:style w:type="character" w:styleId="17">
    <w:name w:val="page number"/>
    <w:basedOn w:val="6"/>
    <w:qFormat/>
    <w:uiPriority w:val="0"/>
  </w:style>
  <w:style w:type="character" w:styleId="18">
    <w:name w:val="Strong"/>
    <w:basedOn w:val="6"/>
    <w:qFormat/>
    <w:uiPriority w:val="0"/>
    <w:rPr>
      <w:b/>
      <w:bCs/>
    </w:rPr>
  </w:style>
  <w:style w:type="table" w:styleId="19">
    <w:name w:val="Table Grid"/>
    <w:basedOn w:val="7"/>
    <w:qFormat/>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Footer Char"/>
    <w:basedOn w:val="6"/>
    <w:link w:val="13"/>
    <w:qFormat/>
    <w:uiPriority w:val="99"/>
    <w:rPr>
      <w:rFonts w:ascii="Humanist777" w:hAnsi="Humanist777"/>
      <w:sz w:val="24"/>
      <w:szCs w:val="24"/>
    </w:rPr>
  </w:style>
  <w:style w:type="paragraph" w:customStyle="1" w:styleId="21">
    <w:name w:val="NASLOV 123"/>
    <w:basedOn w:val="1"/>
    <w:qFormat/>
    <w:uiPriority w:val="0"/>
    <w:pPr>
      <w:spacing w:before="200" w:after="200"/>
      <w:jc w:val="left"/>
    </w:pPr>
    <w:rPr>
      <w:b/>
      <w:szCs w:val="22"/>
    </w:rPr>
  </w:style>
  <w:style w:type="paragraph" w:styleId="22">
    <w:name w:val="List Paragraph"/>
    <w:basedOn w:val="1"/>
    <w:qFormat/>
    <w:uiPriority w:val="34"/>
    <w:pPr>
      <w:tabs>
        <w:tab w:val="clear" w:pos="284"/>
      </w:tabs>
      <w:spacing w:after="200" w:line="276" w:lineRule="auto"/>
      <w:ind w:left="720"/>
      <w:contextualSpacing/>
      <w:jc w:val="left"/>
    </w:pPr>
    <w:rPr>
      <w:rFonts w:asciiTheme="minorHAnsi" w:hAnsiTheme="minorHAnsi" w:eastAsiaTheme="minorHAnsi" w:cstheme="minorBidi"/>
      <w:szCs w:val="22"/>
      <w:lang w:val="mk-MK"/>
    </w:rPr>
  </w:style>
  <w:style w:type="character" w:customStyle="1" w:styleId="23">
    <w:name w:val="apple-converted-space"/>
    <w:basedOn w:val="6"/>
    <w:qFormat/>
    <w:uiPriority w:val="0"/>
  </w:style>
  <w:style w:type="character" w:customStyle="1" w:styleId="24">
    <w:name w:val="Header Char"/>
    <w:basedOn w:val="6"/>
    <w:link w:val="14"/>
    <w:qFormat/>
    <w:uiPriority w:val="99"/>
    <w:rPr>
      <w:sz w:val="22"/>
      <w:szCs w:val="24"/>
    </w:rPr>
  </w:style>
  <w:style w:type="paragraph" w:customStyle="1" w:styleId="25">
    <w:name w:val="Default"/>
    <w:qFormat/>
    <w:uiPriority w:val="0"/>
    <w:pPr>
      <w:autoSpaceDE w:val="0"/>
      <w:autoSpaceDN w:val="0"/>
      <w:adjustRightInd w:val="0"/>
    </w:pPr>
    <w:rPr>
      <w:rFonts w:ascii="Times New Roman" w:hAnsi="Times New Roman" w:eastAsia="Times New Roman" w:cs="Times New Roman"/>
      <w:color w:val="000000"/>
      <w:sz w:val="24"/>
      <w:szCs w:val="24"/>
      <w:lang w:val="mk-MK" w:eastAsia="en-US" w:bidi="ar-SA"/>
    </w:rPr>
  </w:style>
  <w:style w:type="paragraph" w:customStyle="1" w:styleId="26">
    <w:name w:val="EMEA En Body Text"/>
    <w:basedOn w:val="1"/>
    <w:qFormat/>
    <w:uiPriority w:val="0"/>
    <w:pPr>
      <w:tabs>
        <w:tab w:val="clear" w:pos="284"/>
      </w:tabs>
      <w:spacing w:before="120" w:after="120"/>
    </w:pPr>
    <w:rPr>
      <w:szCs w:val="20"/>
    </w:rPr>
  </w:style>
  <w:style w:type="character" w:customStyle="1" w:styleId="27">
    <w:name w:val="Comment Text Char"/>
    <w:basedOn w:val="6"/>
    <w:link w:val="10"/>
    <w:qFormat/>
    <w:uiPriority w:val="0"/>
  </w:style>
  <w:style w:type="paragraph" w:customStyle="1" w:styleId="28">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6E55C-8024-4AE1-9144-09B471155518}">
  <ds:schemaRefs/>
</ds:datastoreItem>
</file>

<file path=customXml/itemProps2.xml><?xml version="1.0" encoding="utf-8"?>
<ds:datastoreItem xmlns:ds="http://schemas.openxmlformats.org/officeDocument/2006/customXml" ds:itemID="{83878853-93CF-4ECA-88D9-17EB47A49019}">
  <ds:schemaRefs/>
</ds:datastoreItem>
</file>

<file path=customXml/itemProps3.xml><?xml version="1.0" encoding="utf-8"?>
<ds:datastoreItem xmlns:ds="http://schemas.openxmlformats.org/officeDocument/2006/customXml" ds:itemID="{A9E15162-9FD8-45BF-8F9C-0969EB1D4082}">
  <ds:schemaRefs/>
</ds:datastoreItem>
</file>

<file path=customXml/itemProps4.xml><?xml version="1.0" encoding="utf-8"?>
<ds:datastoreItem xmlns:ds="http://schemas.openxmlformats.org/officeDocument/2006/customXml" ds:itemID="{3D75A6C3-D376-4E18-AF31-BF96B0A37E12}">
  <ds:schemaRefs/>
</ds:datastoreItem>
</file>

<file path=docProps/app.xml><?xml version="1.0" encoding="utf-8"?>
<Properties xmlns="http://schemas.openxmlformats.org/officeDocument/2006/extended-properties" xmlns:vt="http://schemas.openxmlformats.org/officeDocument/2006/docPropsVTypes">
  <Template>Normal</Template>
  <Pages>12</Pages>
  <Words>5441</Words>
  <Characters>31019</Characters>
  <Lines>258</Lines>
  <Paragraphs>72</Paragraphs>
  <TotalTime>0</TotalTime>
  <ScaleCrop>false</ScaleCrop>
  <LinksUpToDate>false</LinksUpToDate>
  <CharactersWithSpaces>36388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2023-12-04T10:01:00Z</dcterms:created>
  <dc:creator>TANJANE</dc:creator>
  <cp:lastModifiedBy>Haris</cp:lastModifiedBy>
  <cp:lastPrinted>2021-06-11T10:47:00Z</cp:lastPrinted>
  <dcterms:modified xsi:type="dcterms:W3CDTF">2025-02-21T13:23:07Z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58F88575731C41D8AD692260221F646B_13</vt:lpwstr>
  </property>
</Properties>
</file>