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F9D7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UPUTSTVO ZA PACIJENTA</w:t>
      </w:r>
    </w:p>
    <w:p w14:paraId="03DF6861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2CB3F85A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0F4B677F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10 mg/5 mg, tablete</w:t>
      </w:r>
    </w:p>
    <w:p w14:paraId="5ACE1B99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en-GB"/>
        </w:rPr>
        <w:t>, 20 mg/10 mg, tablete</w:t>
      </w:r>
    </w:p>
    <w:p w14:paraId="300599B8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20 mg/5 mg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 xml:space="preserve"> tablete</w:t>
      </w:r>
    </w:p>
    <w:p w14:paraId="74F396D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lizinopril</w:t>
      </w:r>
      <w:r>
        <w:rPr>
          <w:rFonts w:ascii="Microsoft Sans Serif" w:hAnsi="Microsoft Sans Serif" w:cs="Microsoft Sans Serif"/>
          <w:bCs/>
          <w:i/>
          <w:iCs/>
          <w:sz w:val="20"/>
          <w:szCs w:val="20"/>
        </w:rPr>
        <w:t>/amlodipin</w:t>
      </w:r>
    </w:p>
    <w:p w14:paraId="3FEF54A2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5B8E951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Pažljivo pročitajte ovo uputstvo, prije nego što počnete da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 w:bidi="hr-HR"/>
        </w:rPr>
        <w:t xml:space="preserve">uzimate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ovaj lijek, jer sadrži informacije koje su važne za Vas.</w:t>
      </w:r>
    </w:p>
    <w:p w14:paraId="07FB06E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Uputstvo sačuvajte.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44437F97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C8290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Ovaj lijek je propisan 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lično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Vama i ne smijete ga dati drugima.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Drugome ovaj lijek može da škodi, čak i ako ima znake bolesti slične Vašima.</w:t>
      </w:r>
    </w:p>
    <w:p w14:paraId="6F940C67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048038F7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61609BD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Uputstvo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sadrži:</w:t>
      </w:r>
    </w:p>
    <w:p w14:paraId="56805F5E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  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5D76C79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046910D6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se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</w:p>
    <w:p w14:paraId="4DB7A208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neželjena djelovanja </w:t>
      </w:r>
    </w:p>
    <w:p w14:paraId="18CFE0E7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Skopryl Combo</w:t>
      </w:r>
    </w:p>
    <w:p w14:paraId="79F3C925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1878785F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510F8594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60AE8597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I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ZA ŠTA SE KORISTI</w:t>
      </w:r>
    </w:p>
    <w:p w14:paraId="7DF1F35E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3738DF05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je kombin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ovani proizvod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amlodipina, koji pripada grupi lijekova koji se zovu blokatori kalcijumskih kanala i lizinoprila, koji pripada grupi lijekova koji se zovu inhibitori angiotenzin konvertujućeg enzima (ACE inhibitori). 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je namijenjen za primjenu u terapiji povišenog krvnog pritiska (hipertenzija) kod odraslih.</w:t>
      </w:r>
    </w:p>
    <w:p w14:paraId="1BD0850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10 mg/5 mg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: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10 mg lizinoprila i 5 mg amlodipina.</w:t>
      </w:r>
    </w:p>
    <w:p w14:paraId="298D337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mg/5 mg: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20 mg lizinoprila i 5 mg amlodipina.</w:t>
      </w:r>
    </w:p>
    <w:p w14:paraId="28FB4939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mg/10 mg: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koristi kod odraslih pacijenata kod kojih je krvni pritisak adekvatno kontrolisan primjenom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20 mg lizinoprila i 10 mg amlodipina. </w:t>
      </w:r>
    </w:p>
    <w:p w14:paraId="4B34DB02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5C2CA9F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Kod pacijenata sa povišenim krvnim pritiskom, amlodipin djeluje tako što opušta (širi) krvne sudove, tako da krv prolazi lakše kroz njih. On takođe poboljšava dotok krvi u srčani mišić. Lizinopril smanjuje zategnutost krvnih sudova i snižava krvni pritisak. </w:t>
      </w:r>
    </w:p>
    <w:p w14:paraId="5CE4090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333A6400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Možda nemate simptome povišenog krvnog pritiska, ali ipak može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doći do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povećanog rizik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razvij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određene komplikacije (kao što je moždani udar ili srčani udar) ukoliko ne uzimate svoj  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za sniženje krvnog pritiska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redovno.</w:t>
      </w:r>
    </w:p>
    <w:p w14:paraId="7F36358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7F79F12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1C1F8F4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</w:p>
    <w:p w14:paraId="171F7681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31289C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:</w:t>
      </w:r>
    </w:p>
    <w:p w14:paraId="793D8610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(preos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etljivi) na lizinopril ili amlodipin ili na bilo koju od pomoćnih supstanci ovog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eka (navedene u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6)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84D190A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na druge ACE inhibitore (kao što su enalapril, kaptopril i ramipril) ili na druge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blokatore kalcijumskih kanala (kao što su nifedipin, felodipin ili nimodipin)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4FF46D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ranije imali angioedem (teška alergijska reakcija praćena simptomima kao što su svrab,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koprivnjača, šištanje u grudima ili oticanje ruku, grla, usta ili očnih kapaka) koji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že, ali ne mora biti povezan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inhibitora;</w:t>
      </w:r>
    </w:p>
    <w:p w14:paraId="304E239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je neki član Vaše porodice ikad imao tešku alergijsku reakciju (nasl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 angioedem) ili ako ste Vi ranije imali tešku alergijsku reakciju nepoznatog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porijekla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(idiopatski angioedem);</w:t>
      </w:r>
    </w:p>
    <w:p w14:paraId="40B81E23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 je Vaš krvni pritisak izuzetno nizak (teška hipotenzija);</w:t>
      </w:r>
    </w:p>
    <w:p w14:paraId="72690D16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suženje aorte (aortna stenoza), suženje srčanog zaliska (mitralna stenoza), ili abnormalno zadebljanje srčanog mišića (hipertrofična kardiomiopatija);</w:t>
      </w:r>
    </w:p>
    <w:p w14:paraId="4328062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poremećaj cirkulacije (uključujući kardiogeni šok);</w:t>
      </w:r>
    </w:p>
    <w:p w14:paraId="71817F2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imali srčani udar (infarkt miokarda) sa srčanom slabošću (insuficijencijom);</w:t>
      </w:r>
    </w:p>
    <w:p w14:paraId="0FF7EBB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trudni više od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eseca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 preporučuje se uzimanje tableta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u ranoj trudnoći 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“Plodnost, trudnoća i dojenje");</w:t>
      </w:r>
    </w:p>
    <w:p w14:paraId="351A785D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imate šećernu bolest (dijabetes) ili oštećenje funkcije bubrega i na terapiji ste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ekom za sniženje krvnog pritiska koji sadrži aliskiren;</w:t>
      </w:r>
    </w:p>
    <w:p w14:paraId="53885A0E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ste uzimali ili trenutno uzimate sakubitril/valsartan,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 koji se koristi u terapiji određenog tipa dugotrajne srčane insuficijencije (srčane slabosti) kod odraslih, jer se rizik od pojave angioedema (brzo potkožno oticanje u području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npr.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grla) povećava.</w:t>
      </w:r>
    </w:p>
    <w:p w14:paraId="309C178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DE07F3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Upozorenja i mjere opreza</w:t>
      </w:r>
    </w:p>
    <w:p w14:paraId="187E6A0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Morate da kažete svom ljekaru ako mislite da ste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mogli biste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ostati) u drugom stanju.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se ne preporučuje u ranoj trudnoći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može ozbiljno naštetiti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Vaš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oj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beb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ako se koristi nakon trećeg mjeseca trudnoće (pogledati dio “Plodnost, trudnoća i dojenje”).</w:t>
      </w:r>
    </w:p>
    <w:p w14:paraId="44B7709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C66C14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Razgovarajte sa svojim ljekarom prije nego što uzmete lijek Skopryl Combo ako:</w:t>
      </w:r>
    </w:p>
    <w:p w14:paraId="1D11564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probleme sa srcem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D2880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kolagensku vaskularn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bolest (bolest vezivnog tkiva)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55D553C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-  imate probleme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FC17D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-  imate probleme sa jetrom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2B7A6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operaciji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stomatolo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intervenciju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anesteziju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0404BA6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dijalizi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46F15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LDL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aferezi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procedura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uklanjanje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4883A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stariji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65 </w:t>
      </w:r>
      <w:r>
        <w:rPr>
          <w:rFonts w:ascii="Microsoft Sans Serif" w:hAnsi="Microsoft Sans Serif" w:cs="Microsoft Sans Serif"/>
          <w:sz w:val="20"/>
          <w:szCs w:val="20"/>
        </w:rPr>
        <w:t>godina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415C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ograni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čenim unosom </w:t>
      </w:r>
      <w:r>
        <w:rPr>
          <w:rFonts w:ascii="Microsoft Sans Serif" w:hAnsi="Microsoft Sans Serif" w:cs="Microsoft Sans Serif"/>
          <w:sz w:val="20"/>
          <w:szCs w:val="20"/>
        </w:rPr>
        <w:t>soli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ishrani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hiperkalemija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4B956B9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3E4CAA9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dijareju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E3921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tretmanu </w:t>
      </w:r>
      <w:r>
        <w:rPr>
          <w:rFonts w:ascii="Microsoft Sans Serif" w:hAnsi="Microsoft Sans Serif" w:cs="Microsoft Sans Serif"/>
          <w:sz w:val="20"/>
          <w:szCs w:val="20"/>
        </w:rPr>
        <w:t>desenzitizacije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radi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smanjenja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etljivosti (</w:t>
      </w:r>
      <w:r>
        <w:rPr>
          <w:rFonts w:ascii="Microsoft Sans Serif" w:hAnsi="Microsoft Sans Serif" w:cs="Microsoft Sans Serif"/>
          <w:sz w:val="20"/>
          <w:szCs w:val="20"/>
        </w:rPr>
        <w:t>alergijske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0C9B9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pripadnik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inhibitori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postoji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(oticanje lica, usana, jezika i/ili grla);</w:t>
      </w:r>
    </w:p>
    <w:p w14:paraId="25D0E23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598311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blokator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</w:rPr>
        <w:t>receptora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angiotenzina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ARB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 (</w:t>
      </w:r>
      <w:r>
        <w:rPr>
          <w:rFonts w:ascii="Microsoft Sans Serif" w:hAnsi="Microsoft Sans Serif" w:cs="Microsoft Sans Serif"/>
          <w:sz w:val="20"/>
          <w:szCs w:val="20"/>
        </w:rPr>
        <w:t>poznate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sartani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valsartan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telmisartan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irbesartan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naro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449EE7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aliskiren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4D41A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(naglo potkožno oticanje u području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kao npr.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grla) će biti veći: </w:t>
      </w:r>
    </w:p>
    <w:p w14:paraId="75DCDD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racekadotril,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koristi u terapiji dijareje;</w:t>
      </w:r>
    </w:p>
    <w:p w14:paraId="35328FE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ekove koji se koriste za sprečavanje odbacivanja transplantiranih organa i za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terapiju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rak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(sirolimus, everolimus, temsirolimus i 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pripadaju grupi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tzv. mTOR inhibitori;</w:t>
      </w:r>
    </w:p>
    <w:p w14:paraId="6FC80D8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tkivni aktivator plazminogena (l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se koriste za rastvaranje krvnih ugrušaka), koji se obično koriste tokom hospitalizacije;</w:t>
      </w:r>
    </w:p>
    <w:p w14:paraId="68BACD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vildagliptin,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prim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terapiji dijabetesa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16103DD">
      <w:pPr>
        <w:tabs>
          <w:tab w:val="left" w:pos="7797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uzimate bilo koji od gore navedenih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“).</w:t>
      </w:r>
    </w:p>
    <w:p w14:paraId="61DE198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0869E5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Razgovarajte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uporan, dugotrajan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748BC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provjeravati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krvni pritisak, </w:t>
      </w:r>
      <w:r>
        <w:rPr>
          <w:rFonts w:ascii="Microsoft Sans Serif" w:hAnsi="Microsoft Sans Serif" w:cs="Microsoft Sans Serif"/>
          <w:sz w:val="20"/>
          <w:szCs w:val="20"/>
        </w:rPr>
        <w:t>funkciju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preko testa krvi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elektrolita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D24136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“.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C09781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251C9C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i adolescenti</w:t>
      </w:r>
    </w:p>
    <w:p w14:paraId="56B697A8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Skopryl Combo se ne smije primjenjivati kod djece mlađe od 18 godina.</w:t>
      </w:r>
    </w:p>
    <w:p w14:paraId="35E4E2F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8E517B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i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197DEEC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Molimo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Vas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da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obavijestite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svog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ljekara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farmaceuta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svim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lijekovima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uzimate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nedavno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uzimali,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uklju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i/>
          <w:sz w:val="20"/>
          <w:szCs w:val="20"/>
        </w:rPr>
        <w:t>uju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one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kupili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bez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recepta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.</w:t>
      </w:r>
    </w:p>
    <w:p w14:paraId="04619000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2DDE0D5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Diuretici koji štede kalijum (kao što su spironolakton, amilorid, triamteren, koji se koriste da smanje zadržavanje tečnosti u tijelu), zamjene za so koje sadrže kalijum ili dodaci ishrani sa kalijumom se mogu uzimati sa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samo pod strogim ljekarskim nadzorom.</w:t>
      </w:r>
    </w:p>
    <w:p w14:paraId="3AB39FEC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180AF33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Poseban oprez je neophodan kada se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uzima u kombinaciji sa sljedećim lijekovima:</w:t>
      </w:r>
    </w:p>
    <w:p w14:paraId="7721F7B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diuretici (koriste se za izbacivanje viška tečnosti iz organizma)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D2A480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drugi lijekovi za snižavanje krvnog pritiska (antihipertenzivi)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1944A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za primjenu u terapiji oboljenja srca (npr. verapamil, diltiazem)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66C737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nesteroidni antiinflamatorni lijekovi (NSAIL) kao što je acetilsalicilna kiselina (koristi se za ublažavanje upale zglobova, bolova u mišićima, glavobolje, zapaljenja,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povišene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elesne temperature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997900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litijum, triciklični antidepresivi, antipsihotici (koriste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mentalnih poremećaja)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67D1B8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insulin i oralni antidijabetici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koriste 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visokog nivoa glukoze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8970D92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stimulansi autonomnog nervnog sistema (simpatomimetici) kao što su efedrin, fenilefrin i ksilometazolin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i sabutamol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koji se koriste za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ečenje zapušenosti nosa, kašlja, prehlade i astme);</w:t>
      </w:r>
    </w:p>
    <w:p w14:paraId="35F084F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imunosupresivni lijekovi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koriste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za sprečavanje odbacivanja transplantiranih organa, npr.</w:t>
      </w:r>
    </w:p>
    <w:p w14:paraId="6729B2E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kortikosteroidi, citotoksični lijekovi i antimetaboliti)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5C1F49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alopurinol (koristi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se u terapiji gihta)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D1B53A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prokainamid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aritmija)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AEBD6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dodaci ishrani koji sadrže kalijum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(uključujući zamjene za so), diuretici koji štede kalijum i drugi lijekovi koji povećavaju koncentraciju kalijuma u ​​krvi (npr. trimetoprim i kotrimoksazol za infekcije izazivane bakterijama;</w:t>
      </w:r>
    </w:p>
    <w:p w14:paraId="3118B0E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ciklosporin - imunosupresivni lijek koji se koristi za sprečavanje odbacivanja presađe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nih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organa; </w:t>
      </w:r>
    </w:p>
    <w:p w14:paraId="5422408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heparin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–l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koji se koristi za razređivanje krvi radi sprečavanja stvaranja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krvnih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ugrušaka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1120EF9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simvastatin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za snižavanje vrijednosti holesterola i mas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CD54C6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narkotici, morfin i slični lijekovi (koriste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se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terapiji jakog bola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DE2205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karcinoma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6FF26D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anestetici, koji se koriste u hirurgiji ili tokom stomatoloških procedura. Obavijestite svog ljekara ili stomatologa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prije nego što primite lokalnu ili opštu anesteziju, zbog rizika od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iznenadnog prolaznog pada krvnog pritiska;</w:t>
      </w:r>
    </w:p>
    <w:p w14:paraId="35819DE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antikonvulzivi (kao što su karbamazepin, fenobarbital i fenitoin) koji se koriste u terapiji epilepsije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94AAA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bakterijskih infekcija (antibiotici, npr. rifampicin, eritromicin, klaritromicin), HIV infekcije (tzv. inhibitori proteaze, npr. ritonavir, indinavir, nelfinavir) ili gljivičnih infekcija (npr. ketokonazol, itrakonazol)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6461F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biljni proizvodi koji sadrže kantarion (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  <w:t>Hypericum perforatum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0E7C7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soli zlata, naročito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kada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primjenjuju intravenski (koriste se u terapiji simptoma reumatoidnog artritisa)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EC9F59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dantrolen (relaksans skeletnih mišića, koristi se u terapiji maligne hipertermije uzrokovane hipnotičkim sredstvima koja se koriste tokom operacije)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A93C4B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takrolimus (primjenjuje se za kontrolu imunog odgovora, čime omogućava da tijelo prihvati transplantirani organ)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</w:p>
    <w:p w14:paraId="31ED812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7F81BB7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Sljedeći lijekovi mogu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povećaju rizik od angioedema (znaci angioedema mogu da uključuju oticanje lica, usana, jezika i/ili grla sa teškoćama pri gutanju ili disanju): </w:t>
      </w:r>
    </w:p>
    <w:p w14:paraId="2F01CAC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koji se koriste za rastvaranje krvnih ugrušaka (tkivni aktivatori plazminogena), koji se obično koriste tokom hospitalizacije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2CDFD00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najčešće koriste za sprečavanje odbacivanja transplantiranog organa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 u terapij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kancera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(sirolimus, everolimus,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temsirolimus i ostali mTOR inhibitor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). Pogledati dio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;</w:t>
      </w:r>
    </w:p>
    <w:p w14:paraId="636FE3B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vildagliptin, lijek koji se koristi za liječenje dijabetesa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6806B2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racekadotril, koji se koristi za liječenje dijareje.</w:t>
      </w:r>
    </w:p>
    <w:p w14:paraId="179B986D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47335E9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Vaš ljekar će možda morati da promijeni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Vašu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dozu lijeka i/ili da preduzme druge mjere opreza ako:</w:t>
      </w:r>
    </w:p>
    <w:p w14:paraId="18C0D49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uzimate blokator receptora angiotenzina II ili aliskiren (pogledati dijelove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Nemojte uzimati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Skopryl Combo ako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i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).</w:t>
      </w:r>
    </w:p>
    <w:p w14:paraId="38A9A4B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5F20C8DC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Uzimanje lijeka 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hranom i pićima</w:t>
      </w:r>
    </w:p>
    <w:p w14:paraId="66E620B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se može uzimati sa ili bez hrane, ali treba izbjegavati konzumiranje alkohola u toku terapije.</w:t>
      </w:r>
    </w:p>
    <w:p w14:paraId="25828FF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Sok od grejpfruta i grejpfrut ne treba uzimati tokom trajanja terapije lijekom Skopryl Combo, jer mogu da dovedu do povećanja koncentracije aktivne supstance amlodipina u krvi, što može da prouzrokuje nepredvidivo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anje u efektu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sniženje krvnog pritiska.</w:t>
      </w:r>
    </w:p>
    <w:p w14:paraId="1CD984AB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FC365B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Plodnost, trudnoća i dojenje</w:t>
      </w:r>
    </w:p>
    <w:p w14:paraId="44BD010D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  <w:t>Trudnoća</w:t>
      </w:r>
    </w:p>
    <w:p w14:paraId="21DE1B1A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Morate reći svom ljekaru ako mislite da ste (ili da biste možda mogli biti) trudni. Vaš ljekar će Vas posavjetovati da prestanete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prije nego što zatrudnite ili čim se trudnoća utvrdi 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preporučiti da uzmete drugi lijek kao zamjenu za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.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se ne preporučuje u ranoj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trudnoći, a ne smije se koristiti ako ste trudni duže od 3 mjeseca, jer može izazvati ozbiljno oštećenje ploda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</w:p>
    <w:p w14:paraId="60C283F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</w:p>
    <w:p w14:paraId="214CAA0A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  <w:t>Dojenje</w:t>
      </w:r>
    </w:p>
    <w:p w14:paraId="15241448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Amlodipin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u malim količinama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izlučuje u majčino mlijeko. Obavijestite svog ljekara ako dojite ili namjeravate da dojite.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se ne preporučuje majkama koje doje. Vaš ljekar će Vam vjerovatno preporučiti drugi lijek ako želite da dojite, posebno ako je beba novorođenče ili 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evremeno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rođena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242ACF0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1955BE60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Upravljanje vozilima i rukovanje mašinama</w:t>
      </w:r>
    </w:p>
    <w:p w14:paraId="712BA80F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Prije vožnje, ili rukovanja mašinama, ili izvođenja drugih aktivnosti koje zahtijevaju koncentraciju, uvjerite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kako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deluje na Vas. </w:t>
      </w:r>
    </w:p>
    <w:p w14:paraId="32DB2902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može da utiče na Vašu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sposobnost upravljanja vozilima i rukovanja mašinama (posebno na početku terapije). </w:t>
      </w:r>
    </w:p>
    <w:p w14:paraId="1CC0F86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voziti ili rukovati mašinama ako primjetite da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negativno utiče na Vašu sposobnost upravljanja vozilima ili rukovanja mašinama (npr. osjećate mučninu, vrtoglavicu, umor ili imate glavobolju).</w:t>
      </w:r>
    </w:p>
    <w:p w14:paraId="3205AC7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3F03F21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3A30B2B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3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SE UZIMA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79456A2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FEC99DC">
      <w:pPr>
        <w:shd w:val="clear" w:color="auto" w:fill="FFFFFF"/>
        <w:jc w:val="both"/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Uvijek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uzimajte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Skopryl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Combo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onako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kako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Vas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je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uputio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ljekar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  <w:t>Ako niste sigurni kako, posavjetujte se sa ljekarom ili farmaceutom.</w:t>
      </w:r>
    </w:p>
    <w:p w14:paraId="6E9166F9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Preporučena doza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eka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je jedna tableta na dan.</w:t>
      </w:r>
    </w:p>
    <w:p w14:paraId="5B284D80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 može da se uzima sa ili bez hranom. Progutajte svaku tabletu c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elu sa vodom.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treba da uzimate svakog dana u isto vreme.</w:t>
      </w:r>
    </w:p>
    <w:p w14:paraId="7E89AB5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utisak da je dejstvo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  Skopryl Combo previše jako ili previše slabo, obratite se svom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 ili farmaceutu.</w:t>
      </w:r>
    </w:p>
    <w:p w14:paraId="027F324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64B78EA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Prim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ena kod 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ece i adolescenata</w:t>
      </w:r>
    </w:p>
    <w:p w14:paraId="70E8687F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enu kod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ece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mlađe od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18 godina usl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 nedostatka podataka o bezb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ednosti i efikasnosti.</w:t>
      </w:r>
    </w:p>
    <w:p w14:paraId="1EFDBA1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06D8B1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Stariji pacijenti</w:t>
      </w:r>
    </w:p>
    <w:p w14:paraId="422B4266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Uopšteno, nije potrebno posebno prilagođavanje doze kod osoba starijih od 65 godina.</w:t>
      </w:r>
    </w:p>
    <w:p w14:paraId="109F0CD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40BD2A8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jetre</w:t>
      </w:r>
    </w:p>
    <w:p w14:paraId="3415C913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Oboljenje jetre može uticati na nivo amlodipina u krvi. U ovom slučaju, Vaš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 će Vam sav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etovati češće kontrole.</w:t>
      </w:r>
    </w:p>
    <w:p w14:paraId="42CFA8AE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3386FFB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bubrega</w:t>
      </w:r>
    </w:p>
    <w:p w14:paraId="5D0BF30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Tokom terapije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 potrebno je redovno praćenje funkcije bubrega, koncentracije kalijuma i natrijuma u serumu. U slučaju pogoršanja funkcije bubrega terapija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će biti obustavljena i zam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enjena terapijom sa pojedinačnim komponentama čije će se doze adekvatno prilagođavati.</w:t>
      </w:r>
    </w:p>
    <w:p w14:paraId="2E77498E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14DA9A6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Ako uzmete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više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nego što ste trebali</w:t>
      </w:r>
    </w:p>
    <w:p w14:paraId="31D17AC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Odmah se obratite svom ljekaru ili idite u hitnu službu najbliže bolnice.</w:t>
      </w:r>
    </w:p>
    <w:p w14:paraId="4FB49CFE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Predoziranje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može dovesti do velikog pada krvnog pritiska, koji se mora pažljivo pratiti. Znaci predoziranja su narušen balans elektrolita, slabost bubrega, ubrzano disanje (hiperventilacija),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ubrzan puls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lupanje srca, usporen rad srca, vrtoglavica, anksioznost i kašalj. Možda ćete osjetiti ošamućenost, nesvjesticu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ili slabost.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Stanje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šok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se može javiti u slučaju velikog pada krvnog pritiska. Vaša koža može biti hladna i vlažna i možete izgubiti svijest. </w:t>
      </w:r>
    </w:p>
    <w:p w14:paraId="5D0FB3A5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Višak tečnosti se može akumulirati u vašim plućima (plućni edem) izazivajući kratak dah koji se može razviti od 24-48 sati nakon uzimanja lijeka.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</w:p>
    <w:p w14:paraId="5A627FE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C5F1C7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Ako se pojave karakteristični simptomi (kao što su vrtoglavica i glavobolja), potrebno je da zauzmete ležeći položaj, licem okrenutim prema gore. Vaš ljekar će preduzeti odgovarajuće mjere liječenja.</w:t>
      </w:r>
    </w:p>
    <w:p w14:paraId="77D3358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</w:p>
    <w:p w14:paraId="7CBA50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Ako ste zaboravili da uzmete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</w:p>
    <w:p w14:paraId="12BE1F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nadoknadili propuštenu tabletu, kako biste izbegli rizik od predoziranja.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vrijeme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CF62F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09154A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Ako naglo prestanete da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</w:p>
    <w:p w14:paraId="25BB1F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Trajanje terapije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odrediti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Va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š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Nemojte prestati da uzimati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čak i ako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ećate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bolje. Ako prestanete da uzimate lijek ranije nego što je preporučeno,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Vaše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stanje se može pogoršati.</w:t>
      </w:r>
    </w:p>
    <w:p w14:paraId="16AFAB0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C40D666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dodatnih pitanja 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eni ovog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eka, obratite se svom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ekaru ili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farmaceutu.</w:t>
      </w:r>
    </w:p>
    <w:p w14:paraId="0E6E035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2D83C773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  <w:lang w:val="sv-SE"/>
        </w:rPr>
      </w:pPr>
    </w:p>
    <w:p w14:paraId="3387574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MOGUĆA NEŽELJENA DJELOVANJA</w:t>
      </w:r>
    </w:p>
    <w:p w14:paraId="6A2B0F3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0F45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Kao i svi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ekovi,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 može da prouzrokuje neželjena djelovanja, iako ona ne moraju da se jave kod svih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pacijenata koji uzimaju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ek.</w:t>
      </w:r>
    </w:p>
    <w:p w14:paraId="0944655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FF09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  <w:t>:</w:t>
      </w:r>
    </w:p>
    <w:p w14:paraId="6C19C3F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U toku kliničke studije sa amlodipinom i lizinoprilom u kombinaciji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česta neželjena djelovanja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bila su: glavobolja, kašalj i vrtoglavica.</w:t>
      </w:r>
    </w:p>
    <w:p w14:paraId="3380045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1346CF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 (reakcije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etljivosti) mogu se javiti tokom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Morate prekinuti uzimanje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i odmah potražiti medicinsku pomoć, ukoliko se kod Vas javi bilo koji od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edećih simptoma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angioedema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:</w:t>
      </w:r>
    </w:p>
    <w:p w14:paraId="6345A3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otežano disanje sa ili bez oticanja lica, usana, jezika i/ili grla;</w:t>
      </w:r>
    </w:p>
    <w:p w14:paraId="018D7A6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oticanje lica, usana, jezika i/ili grla što može uzrokovati otežano gutanje;</w:t>
      </w:r>
    </w:p>
    <w:p w14:paraId="2B9D6F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teške kožne reakcije, uključujući izražen osip, koprivnjač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crvenilo kože koje se javlja po c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elu, jak svrab, plikovi, ljuštenje i oticanje kože, zapaljenje sluzokože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-ov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sindrom, toksična epidermalna nekroliza) ili druge alergijske reakcije.</w:t>
      </w:r>
    </w:p>
    <w:p w14:paraId="51D9AF8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272FBA8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Dodatna neželjena djelovanja koja su prijavljena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samo amlodipina ili samo lizinoprila (dv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 aktivne supstance), a koja se takođe mogu javiti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su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edeća:</w:t>
      </w:r>
    </w:p>
    <w:p w14:paraId="6D12A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0027913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Amlodipin</w:t>
      </w:r>
    </w:p>
    <w:p w14:paraId="08FAB88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česta neželjena djelovanja (mogu da se jave kod više od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586132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Otok.</w:t>
      </w:r>
    </w:p>
    <w:p w14:paraId="539A58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63314DA4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757C7D6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otok članaka, grčevi mišića,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umora, slabost, pospanost, smetnje u vidu, mučnina, poremećaj varenja,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u pražnjenju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eva (proliv ili zatvor), vrtoglavica, bol u stomaku, palpitacije (brži ili nepravilan rad srca), naleti crvenila, otežano disanje.</w:t>
      </w:r>
    </w:p>
    <w:p w14:paraId="43E460D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Obav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estite svog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ekara ukoliko Vam ova neželjena djelovanja predstavljaju problem ili ukoliko traju duže od ned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elju dana.</w:t>
      </w:r>
    </w:p>
    <w:p w14:paraId="2B63F26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456E1D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najviše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421A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Osip na koži, svrab kože, gubitak kose, crveni mrlje na koži,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kože, koprivnjača, povraćanje, bol u mišićima ili zglobovima, bol u leđima, bol u grudima,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ene raspoloženja (uključujući anksioznost), depresija,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nesanica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podrhtavanje, tinitus (zujanje u uhu), nepravilan rad srca (aritmija), nizak krvni pritisak, kašalj, poremećaj čula ukusa, poremećaj čula (utrnulost 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curenje nosa, češća potreba za mokrenjem noću, poremećaj u mokrenju, suvoća usta, gubitak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ećaja bola, pojačano znojenje,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estica, bol, slabost, uvećanje dojki kod muškaraca, impotencija, povećanje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mase, smanjenje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mase.</w:t>
      </w:r>
    </w:p>
    <w:p w14:paraId="1A65E68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24A3F7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5723B7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Zbunjenost.</w:t>
      </w:r>
    </w:p>
    <w:p w14:paraId="0A60C9C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E2AC1C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959806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reakcije, poremećene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laboratorijskih testova funkcije jetre, zapaljenje jetre (hepatitis), žuta prebojenost kože (žutica),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elih krvnih zrnaca i krvnih pločica,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šećera u krvi, srčani udar (infarkt miokarda), teške reakcije na koži (osip na koži, perutanje ili ljuštenje), teške alergijske reakcije praćene povišenom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elesnom temperaturom, crvenim mrljama, bolom u zglobovima i/ili poremećajima oka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sindrom), oticanje ili zapaljenje desni, zapaljenje pankreasa, zapaljenje sluzokože želuca,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 na 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etlost, povećana mišićna napetost, periferna neuropatija (poremećaj nervnog sistema: slabost 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zapaljenje krvnih sudova.</w:t>
      </w:r>
    </w:p>
    <w:p w14:paraId="499FF2B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182E53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eniti na osnovu dostupnih podataka):</w:t>
      </w:r>
    </w:p>
    <w:p w14:paraId="44380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Podrhtavanje, ukočenost, izraz lica poput maske, usporeni pokreti i povlačenje nogu po podlozi pri hodu, neuravnotežen hod.</w:t>
      </w:r>
    </w:p>
    <w:p w14:paraId="34C6FA0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07266A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Lizinopril</w:t>
      </w:r>
    </w:p>
    <w:p w14:paraId="4FD846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</w:p>
    <w:p w14:paraId="3710651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B03984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vrtoglavica ili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 posebno kada naglo ustanete, proliv, kašalj, povraćanje, problemi sa bubrezima.</w:t>
      </w:r>
    </w:p>
    <w:p w14:paraId="23F66D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</w:p>
    <w:p w14:paraId="3FC57CC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651C14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raspoloženja,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 (bl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edo plava praćena crvenilom) i/ili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utrnulosti ili peckanja prstiju ruke ili noge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Raynaud’s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fenomen),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čula ukusa, halucinacije (opažanje stvari koje realno ne postoje), zamor,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pospanosti ili nesanica, vrtoglavica, parestezije (peckanje, svrab, pečenje), brz i nepravilan rad srca (palpitacija), srčani udar (infarkt miokarda), šlog, curenje nosa, mučnina, bol u stomaku ili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poremećaj varenja, impotencija, umor,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u rezultatima nekih laboratorijskih testova (koji pokazuju kako rade bubrezi i jetra), osip na koži, svrab, ubrzan srčani rad (tahikardija).</w:t>
      </w:r>
    </w:p>
    <w:p w14:paraId="597198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75EE14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499A21D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Angioedem (reakcija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sa iznenadnim oticanjem usana, lica i vrata i ponekad oticanjem šaka i stopala; veća je učestalost pojave angioedema kod pacijenata crne rase u odnosu na druge rase).</w:t>
      </w:r>
    </w:p>
    <w:p w14:paraId="741D323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Zbunjenost, sindrom neadekvatnog lučenja antidiuretskog hormona, koji kontroliše koliko se urina izluči, akutni problem sa bubrezima, slabost bubrega, suvoća usta, gubitak kose, psorijaza, koprivnjača, uvećanje grudi kod muškaraca.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Poremećaj čula mirisa.</w:t>
      </w:r>
    </w:p>
    <w:p w14:paraId="1F1D701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hemoglobina i hematokrita.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pigmenta žuči (bilirubin), mala koncentracija natrijuma u krvi.</w:t>
      </w:r>
    </w:p>
    <w:p w14:paraId="47619D5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06DDBF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040AD0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ednosti šećera u krvi (hipoglikemija), bol u sinusima, zviždanje u grudima, zapaljenje pluća (pneumonija), žuta prebojenost kože i/ili očiju (žutica), zapaljenje jetre ili pankreasa, slabost jetre, teški poremećaji na nivou kože (simptomi uključuju crvenilo, plikove i ljuštenje), znojenje. </w:t>
      </w:r>
    </w:p>
    <w:p w14:paraId="2DEF97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Značajno smanjenje volumena urina (ili prestanak mokrenja). Otok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eva.</w:t>
      </w:r>
    </w:p>
    <w:p w14:paraId="5BA240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broja crvenih krvnih zrnaca (anemija), smanjenje broja krvnih pločica (trombocitopenija),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elih krvnih zrnaca (neutropenija, leukopenija, agranulocitoza). Ove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ene mogu da dovedu do produženog krvarenja, umora, slabosti, oboljenja limfnih čvorova, autoimunskih poremećaja (kada Vaš imunski sistem stvara antit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ela koja napadaju sopstvena tkiva). Možete lakše dobiti infekciju.</w:t>
      </w:r>
    </w:p>
    <w:p w14:paraId="7A8C47B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72A9059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eniti na osnovu dostupnih podataka)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594822E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depresija, teška alergijska 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(anafilaktička/anafilaktoidna reakcija).</w:t>
      </w:r>
    </w:p>
    <w:p w14:paraId="3F7103C4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78BC1AA">
      <w:pPr>
        <w:tabs>
          <w:tab w:val="left" w:pos="284"/>
        </w:tabs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  <w:t>Prijavljivanje sumnje na neželjena djelovanja lijeka</w:t>
      </w:r>
    </w:p>
    <w:p w14:paraId="0791609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v-SE" w:eastAsia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podrazumijeva sve moguće neželjene reakcije koje nisu navedene u ovom uputstvu o za pacijenta, kao i one koje jesu.</w:t>
      </w:r>
    </w:p>
    <w:p w14:paraId="6F324A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301B67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7771656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5.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544BEB4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5E07D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777CEA6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E3A7061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se ne smije koristiti poslije isteka roka upotrebe navedenog na pakovanju. Rok trajanja odnosi se na posljednji dan tog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mjeseca. </w:t>
      </w:r>
    </w:p>
    <w:p w14:paraId="72F5FACC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134267CB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 xml:space="preserve">Lijek treba čuvati na temperaturi do 30⁰C. </w:t>
      </w:r>
    </w:p>
    <w:p w14:paraId="4CF5D04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Čuvati u originalnom pakovanju radi zaštite od svjetlosti.</w:t>
      </w:r>
    </w:p>
    <w:p w14:paraId="53ED472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50CF7909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74B7D6E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42632E41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1F241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75BDA1E4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DODATNE INFORMACIJE</w:t>
      </w:r>
    </w:p>
    <w:p w14:paraId="06F894D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09732DC4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sadrži</w:t>
      </w:r>
    </w:p>
    <w:p w14:paraId="22AF5F05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3CDCF9B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- Aktivne supstance su lizinopril i amlodipin.</w:t>
      </w:r>
    </w:p>
    <w:p w14:paraId="0465A6F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AC353B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42700C6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10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dihidrata) i 5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5F9841E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F25122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C358CA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). </w:t>
      </w:r>
    </w:p>
    <w:p w14:paraId="2D62991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3A981C3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88026E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676238F9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E30916F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Pomoćne supstance su: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kalcijum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–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hidrogenfosfat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manitol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kukuruzni skrob,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djelimično prežel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atinizirani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; natrijum–skrobglikolat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tip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 i magnezijum-stearat.</w:t>
      </w:r>
    </w:p>
    <w:p w14:paraId="684815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1C670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34C5334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</w:p>
    <w:p w14:paraId="0C4D307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084937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Okrugle, ravne fasetirane tablete, bijele do skoro bijele boje, sa podionom linijom sa jedne strane i oznakom "L A" sa druge strane.</w:t>
      </w:r>
    </w:p>
    <w:p w14:paraId="7BF13C6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Podiona linija služi samo da olakša lomljenje da bi se lijek lakše progutao, a ne za podjelu na jednake doze.</w:t>
      </w:r>
    </w:p>
    <w:p w14:paraId="70A725D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57629A1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Unutrašnje pakovanje: Blister od PVC/PVDC/aluminijumske folije. Svaki blister sadrži 10 tableta.</w:t>
      </w:r>
    </w:p>
    <w:p w14:paraId="7CBD619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Spoljašnje pakovanje: Složiva kartonska kutija koja sadrži 30 ili 90 tableta (3 ili 9 blistera) i Uputstvo za pacijenta.</w:t>
      </w:r>
    </w:p>
    <w:p w14:paraId="08565293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2AA8E2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141CED6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2" sa druge strane.</w:t>
      </w:r>
    </w:p>
    <w:p w14:paraId="34CB492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Tableta se može podijeliti na jednake doze.</w:t>
      </w:r>
    </w:p>
    <w:p w14:paraId="75C134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01676EE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8DD3E2F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.</w:t>
      </w:r>
    </w:p>
    <w:p w14:paraId="6AA773F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</w:pPr>
    </w:p>
    <w:p w14:paraId="3519350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23144D5F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1" sa druge strane.</w:t>
      </w:r>
    </w:p>
    <w:p w14:paraId="5CE90AB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ona linija služi samo da olakša lomljenje da bi se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lakše progutao, a ne za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elu na jednake doze.</w:t>
      </w:r>
    </w:p>
    <w:p w14:paraId="734C89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A3F675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D6B6BD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2D15C42B">
      <w:pPr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166EA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54A02B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FC1F778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se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izdaje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uz ljekarski recept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6F3F89C3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394EF81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PROIZVO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A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Č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 xml:space="preserve"> </w:t>
      </w:r>
    </w:p>
    <w:p w14:paraId="33B516D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</w:p>
    <w:p w14:paraId="4539C3A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29BDA730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BC3ACE8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4CCD43A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79A8615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BABF983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LIJEKA  </w:t>
      </w:r>
    </w:p>
    <w:p w14:paraId="1F8FF06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ALKALOID AD Skopje </w:t>
      </w:r>
    </w:p>
    <w:p w14:paraId="70077DA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A6B893D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6356BA5F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8AD3331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NOSILAC DOZVOLE ZA STAVLJANJE LIJEKA U PROMET</w:t>
      </w:r>
    </w:p>
    <w:p w14:paraId="3791AFCD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d.o.o. Sarajevo</w:t>
      </w:r>
    </w:p>
    <w:p w14:paraId="6B120C82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Isevića sokak 6, Sarajevo</w:t>
      </w:r>
    </w:p>
    <w:p w14:paraId="2E76CA8B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Bosna i Hercegovina</w:t>
      </w:r>
    </w:p>
    <w:p w14:paraId="1E44FEF4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577E7C4">
      <w:p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  <w:t>BROJ I DATUM  DOZVOLE ZA STAVLJANJE LIJEKA U PROMET</w:t>
      </w:r>
    </w:p>
    <w:p w14:paraId="64030E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0E7DAD8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,30 tableta: 04-07.3-1-613/20 od 02.04.2021.</w:t>
      </w:r>
    </w:p>
    <w:p w14:paraId="39C36B35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 90 tableta: 04-07.3-1-611/20 od 02.04.2021.</w:t>
      </w:r>
    </w:p>
    <w:p w14:paraId="18F4A8D2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30 tableta: 04-07.3-1-608/20 od 02.04.2021.</w:t>
      </w:r>
    </w:p>
    <w:p w14:paraId="7CFD4E96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90 tableta: 04-07.3-1-609/20 od 02.04.2021.</w:t>
      </w:r>
    </w:p>
    <w:p w14:paraId="1CBCC994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30 tableta: 04-07.3-1-612/20 od 02.04.2021.</w:t>
      </w:r>
    </w:p>
    <w:p w14:paraId="3E29B3EA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90 tableta: 04-07.3-1-610/20 od 02.04.2021.</w:t>
      </w:r>
    </w:p>
    <w:p w14:paraId="0ED4870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446114D">
      <w:pPr>
        <w:shd w:val="clear" w:color="auto" w:fill="FFFFFF"/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r-Latn-BA"/>
        </w:rPr>
        <w:t>Datum revizije uputstva</w:t>
      </w:r>
    </w:p>
    <w:p w14:paraId="6F129A53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Septembar, 2023.</w:t>
      </w:r>
    </w:p>
    <w:p w14:paraId="37B75CD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sectPr>
      <w:pgSz w:w="11907" w:h="16840"/>
      <w:pgMar w:top="2552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multi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41"/>
    <w:rsid w:val="000037DF"/>
    <w:rsid w:val="000265B6"/>
    <w:rsid w:val="00030E9D"/>
    <w:rsid w:val="00045AEA"/>
    <w:rsid w:val="00056163"/>
    <w:rsid w:val="00056C43"/>
    <w:rsid w:val="000573CC"/>
    <w:rsid w:val="000662DA"/>
    <w:rsid w:val="00067EE9"/>
    <w:rsid w:val="000739F8"/>
    <w:rsid w:val="00074981"/>
    <w:rsid w:val="000759AE"/>
    <w:rsid w:val="00080A32"/>
    <w:rsid w:val="00080C3D"/>
    <w:rsid w:val="00081E85"/>
    <w:rsid w:val="000864EB"/>
    <w:rsid w:val="000A3922"/>
    <w:rsid w:val="000B0BA1"/>
    <w:rsid w:val="000C5135"/>
    <w:rsid w:val="000C667D"/>
    <w:rsid w:val="000F0D5E"/>
    <w:rsid w:val="001077C9"/>
    <w:rsid w:val="00111DA7"/>
    <w:rsid w:val="00123382"/>
    <w:rsid w:val="0012438E"/>
    <w:rsid w:val="0013790F"/>
    <w:rsid w:val="00142927"/>
    <w:rsid w:val="0014477C"/>
    <w:rsid w:val="00152B7D"/>
    <w:rsid w:val="00173104"/>
    <w:rsid w:val="00176010"/>
    <w:rsid w:val="0017631D"/>
    <w:rsid w:val="00190075"/>
    <w:rsid w:val="00190613"/>
    <w:rsid w:val="00196FFC"/>
    <w:rsid w:val="001A0A2E"/>
    <w:rsid w:val="001A0B67"/>
    <w:rsid w:val="001A23A2"/>
    <w:rsid w:val="001B1B0E"/>
    <w:rsid w:val="001B65FA"/>
    <w:rsid w:val="001C141B"/>
    <w:rsid w:val="00200378"/>
    <w:rsid w:val="0020091C"/>
    <w:rsid w:val="00203C67"/>
    <w:rsid w:val="002063EA"/>
    <w:rsid w:val="002149E7"/>
    <w:rsid w:val="00215931"/>
    <w:rsid w:val="00242ADE"/>
    <w:rsid w:val="00244959"/>
    <w:rsid w:val="002504E6"/>
    <w:rsid w:val="00271CAF"/>
    <w:rsid w:val="00282B34"/>
    <w:rsid w:val="00287EB9"/>
    <w:rsid w:val="00293BEF"/>
    <w:rsid w:val="002A6917"/>
    <w:rsid w:val="002A6A2E"/>
    <w:rsid w:val="002C27B1"/>
    <w:rsid w:val="002C4B12"/>
    <w:rsid w:val="002D77A6"/>
    <w:rsid w:val="002E4B06"/>
    <w:rsid w:val="002E501B"/>
    <w:rsid w:val="002F6240"/>
    <w:rsid w:val="00313DE2"/>
    <w:rsid w:val="00316731"/>
    <w:rsid w:val="00322B6B"/>
    <w:rsid w:val="0034764E"/>
    <w:rsid w:val="00356DAE"/>
    <w:rsid w:val="0036376C"/>
    <w:rsid w:val="003706D3"/>
    <w:rsid w:val="00374605"/>
    <w:rsid w:val="00375CFB"/>
    <w:rsid w:val="0038064C"/>
    <w:rsid w:val="00383FCE"/>
    <w:rsid w:val="003A0B01"/>
    <w:rsid w:val="003A6952"/>
    <w:rsid w:val="003E48C8"/>
    <w:rsid w:val="00410345"/>
    <w:rsid w:val="00410745"/>
    <w:rsid w:val="004138D3"/>
    <w:rsid w:val="004204AB"/>
    <w:rsid w:val="00425C93"/>
    <w:rsid w:val="00427B2C"/>
    <w:rsid w:val="00462E90"/>
    <w:rsid w:val="0047223C"/>
    <w:rsid w:val="0048275E"/>
    <w:rsid w:val="004B079A"/>
    <w:rsid w:val="004C074C"/>
    <w:rsid w:val="004D0F85"/>
    <w:rsid w:val="004F66D9"/>
    <w:rsid w:val="0050553B"/>
    <w:rsid w:val="00507EB2"/>
    <w:rsid w:val="00514324"/>
    <w:rsid w:val="00523B33"/>
    <w:rsid w:val="00530BB8"/>
    <w:rsid w:val="00536475"/>
    <w:rsid w:val="005410DB"/>
    <w:rsid w:val="00543DE9"/>
    <w:rsid w:val="00550A67"/>
    <w:rsid w:val="00550D39"/>
    <w:rsid w:val="00556FEC"/>
    <w:rsid w:val="005577EA"/>
    <w:rsid w:val="005676CE"/>
    <w:rsid w:val="00571258"/>
    <w:rsid w:val="00582A1B"/>
    <w:rsid w:val="00587878"/>
    <w:rsid w:val="00592BE7"/>
    <w:rsid w:val="0059750F"/>
    <w:rsid w:val="005A76C5"/>
    <w:rsid w:val="005B0772"/>
    <w:rsid w:val="005B7549"/>
    <w:rsid w:val="005D1729"/>
    <w:rsid w:val="005E5AF6"/>
    <w:rsid w:val="005F1AF3"/>
    <w:rsid w:val="005F719F"/>
    <w:rsid w:val="0060244A"/>
    <w:rsid w:val="00613941"/>
    <w:rsid w:val="0062303B"/>
    <w:rsid w:val="0062395F"/>
    <w:rsid w:val="00626487"/>
    <w:rsid w:val="00630CC3"/>
    <w:rsid w:val="00631DB5"/>
    <w:rsid w:val="006348D3"/>
    <w:rsid w:val="0063702F"/>
    <w:rsid w:val="00642E16"/>
    <w:rsid w:val="00646A67"/>
    <w:rsid w:val="00662CC1"/>
    <w:rsid w:val="00671F73"/>
    <w:rsid w:val="006944F7"/>
    <w:rsid w:val="006A437E"/>
    <w:rsid w:val="006A5B18"/>
    <w:rsid w:val="006B3C10"/>
    <w:rsid w:val="006B49E6"/>
    <w:rsid w:val="006D1476"/>
    <w:rsid w:val="006F3B62"/>
    <w:rsid w:val="0070348B"/>
    <w:rsid w:val="00711433"/>
    <w:rsid w:val="00720037"/>
    <w:rsid w:val="0072143F"/>
    <w:rsid w:val="00737534"/>
    <w:rsid w:val="0074073B"/>
    <w:rsid w:val="007467B6"/>
    <w:rsid w:val="00751361"/>
    <w:rsid w:val="007568D3"/>
    <w:rsid w:val="00770B70"/>
    <w:rsid w:val="00770DAA"/>
    <w:rsid w:val="00772BBE"/>
    <w:rsid w:val="00772DC1"/>
    <w:rsid w:val="007808AF"/>
    <w:rsid w:val="00781CFD"/>
    <w:rsid w:val="007A4066"/>
    <w:rsid w:val="007B08F7"/>
    <w:rsid w:val="007B1FF1"/>
    <w:rsid w:val="007B398B"/>
    <w:rsid w:val="007C0C9C"/>
    <w:rsid w:val="007D1621"/>
    <w:rsid w:val="007D774F"/>
    <w:rsid w:val="007E1B0A"/>
    <w:rsid w:val="007E1CC4"/>
    <w:rsid w:val="007E7063"/>
    <w:rsid w:val="007F6816"/>
    <w:rsid w:val="00807BF9"/>
    <w:rsid w:val="00816C78"/>
    <w:rsid w:val="00817522"/>
    <w:rsid w:val="008238C8"/>
    <w:rsid w:val="008330DF"/>
    <w:rsid w:val="008429C3"/>
    <w:rsid w:val="008511F3"/>
    <w:rsid w:val="0085298E"/>
    <w:rsid w:val="00860662"/>
    <w:rsid w:val="00861C1E"/>
    <w:rsid w:val="0086570D"/>
    <w:rsid w:val="00874536"/>
    <w:rsid w:val="008807BD"/>
    <w:rsid w:val="0089112A"/>
    <w:rsid w:val="00897259"/>
    <w:rsid w:val="008B1AA0"/>
    <w:rsid w:val="008C5018"/>
    <w:rsid w:val="008C565C"/>
    <w:rsid w:val="008D157D"/>
    <w:rsid w:val="008D5B02"/>
    <w:rsid w:val="00901557"/>
    <w:rsid w:val="00905601"/>
    <w:rsid w:val="0090708B"/>
    <w:rsid w:val="009233A0"/>
    <w:rsid w:val="009255E2"/>
    <w:rsid w:val="00946146"/>
    <w:rsid w:val="0095454C"/>
    <w:rsid w:val="00955BA6"/>
    <w:rsid w:val="00967252"/>
    <w:rsid w:val="009B3F04"/>
    <w:rsid w:val="009B5EC2"/>
    <w:rsid w:val="009B7D6B"/>
    <w:rsid w:val="009C58B7"/>
    <w:rsid w:val="009D0926"/>
    <w:rsid w:val="00A03DE2"/>
    <w:rsid w:val="00A05A2C"/>
    <w:rsid w:val="00A15039"/>
    <w:rsid w:val="00A20103"/>
    <w:rsid w:val="00A27DAA"/>
    <w:rsid w:val="00A31C25"/>
    <w:rsid w:val="00A33AD6"/>
    <w:rsid w:val="00A35CE7"/>
    <w:rsid w:val="00A365C8"/>
    <w:rsid w:val="00A46D0C"/>
    <w:rsid w:val="00A500BE"/>
    <w:rsid w:val="00A57463"/>
    <w:rsid w:val="00A61DA3"/>
    <w:rsid w:val="00A63006"/>
    <w:rsid w:val="00A72F38"/>
    <w:rsid w:val="00A920D2"/>
    <w:rsid w:val="00AA19DA"/>
    <w:rsid w:val="00AA385C"/>
    <w:rsid w:val="00AA5E05"/>
    <w:rsid w:val="00AA6DE4"/>
    <w:rsid w:val="00AB1918"/>
    <w:rsid w:val="00AB2911"/>
    <w:rsid w:val="00AB5095"/>
    <w:rsid w:val="00AC3A34"/>
    <w:rsid w:val="00AD3908"/>
    <w:rsid w:val="00B0123F"/>
    <w:rsid w:val="00B11ED5"/>
    <w:rsid w:val="00B24336"/>
    <w:rsid w:val="00B31E35"/>
    <w:rsid w:val="00B3607D"/>
    <w:rsid w:val="00B3767A"/>
    <w:rsid w:val="00B54C9C"/>
    <w:rsid w:val="00B62BF1"/>
    <w:rsid w:val="00B7467B"/>
    <w:rsid w:val="00BA51A5"/>
    <w:rsid w:val="00BA643B"/>
    <w:rsid w:val="00BA7EBC"/>
    <w:rsid w:val="00BB0DFD"/>
    <w:rsid w:val="00BC0092"/>
    <w:rsid w:val="00BC3BDE"/>
    <w:rsid w:val="00BD64E7"/>
    <w:rsid w:val="00BE14BB"/>
    <w:rsid w:val="00BE1E73"/>
    <w:rsid w:val="00BF4DAB"/>
    <w:rsid w:val="00C03DE2"/>
    <w:rsid w:val="00C047A8"/>
    <w:rsid w:val="00C062C2"/>
    <w:rsid w:val="00C10141"/>
    <w:rsid w:val="00C17780"/>
    <w:rsid w:val="00C17CD1"/>
    <w:rsid w:val="00C23B84"/>
    <w:rsid w:val="00C23F07"/>
    <w:rsid w:val="00C350D8"/>
    <w:rsid w:val="00C350F7"/>
    <w:rsid w:val="00C35C76"/>
    <w:rsid w:val="00C509F5"/>
    <w:rsid w:val="00C5321C"/>
    <w:rsid w:val="00C65029"/>
    <w:rsid w:val="00C747B9"/>
    <w:rsid w:val="00C83068"/>
    <w:rsid w:val="00C85C7B"/>
    <w:rsid w:val="00C86EC6"/>
    <w:rsid w:val="00C9764A"/>
    <w:rsid w:val="00CA2854"/>
    <w:rsid w:val="00CB0334"/>
    <w:rsid w:val="00CC34CA"/>
    <w:rsid w:val="00CD40D8"/>
    <w:rsid w:val="00CD5FDB"/>
    <w:rsid w:val="00CE0736"/>
    <w:rsid w:val="00CE4EE6"/>
    <w:rsid w:val="00CE5421"/>
    <w:rsid w:val="00CE6D1E"/>
    <w:rsid w:val="00CF69C2"/>
    <w:rsid w:val="00D02ECD"/>
    <w:rsid w:val="00D14075"/>
    <w:rsid w:val="00D150F8"/>
    <w:rsid w:val="00D24E11"/>
    <w:rsid w:val="00D3164B"/>
    <w:rsid w:val="00D34E03"/>
    <w:rsid w:val="00D41C50"/>
    <w:rsid w:val="00D67269"/>
    <w:rsid w:val="00D737C1"/>
    <w:rsid w:val="00D7572D"/>
    <w:rsid w:val="00D75985"/>
    <w:rsid w:val="00D767F8"/>
    <w:rsid w:val="00D97437"/>
    <w:rsid w:val="00DB0367"/>
    <w:rsid w:val="00DC22DB"/>
    <w:rsid w:val="00DD2B1E"/>
    <w:rsid w:val="00DD3B8C"/>
    <w:rsid w:val="00DD630D"/>
    <w:rsid w:val="00DE233B"/>
    <w:rsid w:val="00DE39A4"/>
    <w:rsid w:val="00DE3EEE"/>
    <w:rsid w:val="00DF0677"/>
    <w:rsid w:val="00DF399F"/>
    <w:rsid w:val="00DF4EB5"/>
    <w:rsid w:val="00E13613"/>
    <w:rsid w:val="00E14A2B"/>
    <w:rsid w:val="00E171FB"/>
    <w:rsid w:val="00E27654"/>
    <w:rsid w:val="00E3482C"/>
    <w:rsid w:val="00E5550E"/>
    <w:rsid w:val="00E82DA0"/>
    <w:rsid w:val="00E84095"/>
    <w:rsid w:val="00E946AD"/>
    <w:rsid w:val="00E979C1"/>
    <w:rsid w:val="00EA4E8B"/>
    <w:rsid w:val="00EA68C5"/>
    <w:rsid w:val="00EB1100"/>
    <w:rsid w:val="00EB43D7"/>
    <w:rsid w:val="00EC7AC1"/>
    <w:rsid w:val="00ED0B0A"/>
    <w:rsid w:val="00F0275B"/>
    <w:rsid w:val="00F21289"/>
    <w:rsid w:val="00F31739"/>
    <w:rsid w:val="00F31EA3"/>
    <w:rsid w:val="00F41131"/>
    <w:rsid w:val="00F506B3"/>
    <w:rsid w:val="00F55148"/>
    <w:rsid w:val="00F55A65"/>
    <w:rsid w:val="00F5702E"/>
    <w:rsid w:val="00F61706"/>
    <w:rsid w:val="00F8472E"/>
    <w:rsid w:val="00FA24D4"/>
    <w:rsid w:val="00FA5107"/>
    <w:rsid w:val="00FB072C"/>
    <w:rsid w:val="00FB08F7"/>
    <w:rsid w:val="00FB7953"/>
    <w:rsid w:val="00FC2D5A"/>
    <w:rsid w:val="00FC5A02"/>
    <w:rsid w:val="00FD0198"/>
    <w:rsid w:val="00FD1AD3"/>
    <w:rsid w:val="00FD3043"/>
    <w:rsid w:val="00FD4EA8"/>
    <w:rsid w:val="00FE1005"/>
    <w:rsid w:val="00FE12C8"/>
    <w:rsid w:val="00FE3935"/>
    <w:rsid w:val="00FF4998"/>
    <w:rsid w:val="344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qFormat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NASLOV 123"/>
    <w:basedOn w:val="1"/>
    <w:qFormat/>
    <w:uiPriority w:val="0"/>
    <w:pPr>
      <w:tabs>
        <w:tab w:val="left" w:pos="284"/>
      </w:tabs>
      <w:spacing w:before="200" w:line="240" w:lineRule="auto"/>
    </w:pPr>
    <w:rPr>
      <w:rFonts w:ascii="Times New Roman" w:hAnsi="Times New Roman" w:eastAsia="Times New Roman" w:cs="Times New Roman"/>
      <w:b/>
      <w:bCs/>
      <w:lang w:val="ru-RU"/>
    </w:rPr>
  </w:style>
  <w:style w:type="character" w:customStyle="1" w:styleId="13">
    <w:name w:val="Header Char"/>
    <w:basedOn w:val="2"/>
    <w:link w:val="9"/>
    <w:qFormat/>
    <w:uiPriority w:val="99"/>
    <w:rPr>
      <w:rFonts w:ascii="Times New Roman" w:hAnsi="Times New Roman" w:eastAsia="Times New Roman" w:cs="Times New Roman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mk-MK" w:eastAsia="en-US" w:bidi="ar-SA"/>
    </w:rPr>
  </w:style>
  <w:style w:type="character" w:customStyle="1" w:styleId="15">
    <w:name w:val="Footer Char"/>
    <w:basedOn w:val="2"/>
    <w:link w:val="8"/>
    <w:qFormat/>
    <w:uiPriority w:val="99"/>
  </w:style>
  <w:style w:type="paragraph" w:customStyle="1" w:styleId="16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17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FFAA-DF50-4EFA-8944-A2D1B3A6505D}">
  <ds:schemaRefs/>
</ds:datastoreItem>
</file>

<file path=customXml/itemProps2.xml><?xml version="1.0" encoding="utf-8"?>
<ds:datastoreItem xmlns:ds="http://schemas.openxmlformats.org/officeDocument/2006/customXml" ds:itemID="{CBBA5019-3396-418A-B8C0-8D11A5AF200B}">
  <ds:schemaRefs/>
</ds:datastoreItem>
</file>

<file path=customXml/itemProps3.xml><?xml version="1.0" encoding="utf-8"?>
<ds:datastoreItem xmlns:ds="http://schemas.openxmlformats.org/officeDocument/2006/customXml" ds:itemID="{785D78FC-3FFA-49A3-9EAB-29AA6B5D4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3940</Words>
  <Characters>22458</Characters>
  <Lines>187</Lines>
  <Paragraphs>52</Paragraphs>
  <TotalTime>0</TotalTime>
  <ScaleCrop>false</ScaleCrop>
  <LinksUpToDate>false</LinksUpToDate>
  <CharactersWithSpaces>26346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2023-12-04T10:45:00Z</dcterms:created>
  <dc:creator>Stefan SM. Milenkovski</dc:creator>
  <cp:lastModifiedBy>Haris</cp:lastModifiedBy>
  <dcterms:modified xsi:type="dcterms:W3CDTF">2025-02-21T15:29:30Z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DB5E5E365216419E84C41B6417407E5F_13</vt:lpwstr>
  </property>
</Properties>
</file>